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54" w:rsidRPr="004457E9" w:rsidRDefault="00A87054" w:rsidP="00A87054">
      <w:pPr>
        <w:jc w:val="center"/>
        <w:rPr>
          <w:b/>
          <w:bCs/>
        </w:rPr>
      </w:pPr>
      <w:r w:rsidRPr="004457E9">
        <w:rPr>
          <w:b/>
          <w:bCs/>
        </w:rPr>
        <w:t>Environmental and Social Action Plan (ESAP)</w:t>
      </w:r>
    </w:p>
    <w:p w:rsidR="00A87054" w:rsidRDefault="00A87054" w:rsidP="00A87054">
      <w:pPr>
        <w:jc w:val="center"/>
      </w:pPr>
      <w:proofErr w:type="spellStart"/>
      <w:r>
        <w:rPr>
          <w:b/>
          <w:bCs/>
        </w:rPr>
        <w:t>Farmsecure</w:t>
      </w:r>
      <w:proofErr w:type="spellEnd"/>
      <w:r w:rsidR="005777B2">
        <w:rPr>
          <w:b/>
          <w:bCs/>
        </w:rPr>
        <w:t xml:space="preserve"> (#31519)</w:t>
      </w:r>
      <w:r w:rsidRPr="004457E9">
        <w:rPr>
          <w:b/>
          <w:bCs/>
        </w:rPr>
        <w:t xml:space="preserve">, </w:t>
      </w:r>
      <w:r w:rsidR="00AB538F">
        <w:rPr>
          <w:b/>
          <w:bCs/>
        </w:rPr>
        <w:t xml:space="preserve">April </w:t>
      </w:r>
      <w:r>
        <w:rPr>
          <w:b/>
          <w:bCs/>
        </w:rPr>
        <w:t>2012</w:t>
      </w:r>
    </w:p>
    <w:p w:rsidR="00A87054" w:rsidRDefault="00A87054" w:rsidP="00A87054"/>
    <w:p w:rsidR="00A87054" w:rsidRPr="00560829" w:rsidRDefault="00A87054" w:rsidP="00A87054">
      <w:pPr>
        <w:rPr>
          <w:sz w:val="22"/>
          <w:szCs w:val="22"/>
        </w:rPr>
      </w:pPr>
      <w:proofErr w:type="spellStart"/>
      <w:r w:rsidRPr="00560829">
        <w:rPr>
          <w:sz w:val="22"/>
          <w:szCs w:val="22"/>
        </w:rPr>
        <w:t>Farmsecure</w:t>
      </w:r>
      <w:proofErr w:type="spellEnd"/>
      <w:r w:rsidRPr="00560829">
        <w:rPr>
          <w:sz w:val="22"/>
          <w:szCs w:val="22"/>
        </w:rPr>
        <w:t xml:space="preserve"> commits to the actions as specified below, within the specified timelines, and declares that the resources required to implement the action plan will be allocated.</w:t>
      </w:r>
    </w:p>
    <w:p w:rsidR="00A87054" w:rsidRPr="00A87054" w:rsidRDefault="00A87054" w:rsidP="00A87054"/>
    <w:tbl>
      <w:tblPr>
        <w:tblW w:w="13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4215"/>
        <w:gridCol w:w="4216"/>
        <w:gridCol w:w="4216"/>
      </w:tblGrid>
      <w:tr w:rsidR="00E511CD" w:rsidRPr="001D7780" w:rsidTr="008159D6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E511CD" w:rsidRPr="002A715A" w:rsidRDefault="0052239E" w:rsidP="008159D6">
            <w:pPr>
              <w:jc w:val="center"/>
              <w:rPr>
                <w:b/>
                <w:sz w:val="22"/>
                <w:szCs w:val="22"/>
              </w:rPr>
            </w:pPr>
            <w:r w:rsidRPr="002A715A">
              <w:rPr>
                <w:b/>
                <w:sz w:val="22"/>
                <w:szCs w:val="22"/>
              </w:rPr>
              <w:t>PS#</w:t>
            </w:r>
          </w:p>
        </w:tc>
        <w:tc>
          <w:tcPr>
            <w:tcW w:w="4215" w:type="dxa"/>
            <w:shd w:val="clear" w:color="auto" w:fill="D9D9D9" w:themeFill="background1" w:themeFillShade="D9"/>
            <w:vAlign w:val="center"/>
          </w:tcPr>
          <w:p w:rsidR="00E511CD" w:rsidRPr="002A715A" w:rsidRDefault="0052239E" w:rsidP="008159D6">
            <w:pPr>
              <w:jc w:val="center"/>
              <w:rPr>
                <w:b/>
                <w:sz w:val="22"/>
                <w:szCs w:val="22"/>
              </w:rPr>
            </w:pPr>
            <w:r w:rsidRPr="002A715A">
              <w:rPr>
                <w:b/>
                <w:sz w:val="22"/>
                <w:szCs w:val="22"/>
              </w:rPr>
              <w:t>Issue &amp; Task (</w:t>
            </w:r>
            <w:r w:rsidR="00A87054">
              <w:rPr>
                <w:b/>
                <w:sz w:val="22"/>
                <w:szCs w:val="22"/>
              </w:rPr>
              <w:t>d</w:t>
            </w:r>
            <w:r w:rsidRPr="002A715A">
              <w:rPr>
                <w:b/>
                <w:sz w:val="22"/>
                <w:szCs w:val="22"/>
              </w:rPr>
              <w:t xml:space="preserve">escription of the requirement to be met by </w:t>
            </w:r>
            <w:proofErr w:type="spellStart"/>
            <w:r w:rsidR="00A87054">
              <w:rPr>
                <w:b/>
                <w:sz w:val="22"/>
                <w:szCs w:val="22"/>
              </w:rPr>
              <w:t>Farmsecure</w:t>
            </w:r>
            <w:proofErr w:type="spellEnd"/>
            <w:r w:rsidRPr="002A715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center"/>
          </w:tcPr>
          <w:p w:rsidR="00E511CD" w:rsidRPr="002A715A" w:rsidRDefault="0052239E" w:rsidP="008159D6">
            <w:pPr>
              <w:jc w:val="center"/>
              <w:rPr>
                <w:b/>
                <w:sz w:val="22"/>
                <w:szCs w:val="22"/>
              </w:rPr>
            </w:pPr>
            <w:r w:rsidRPr="002A715A">
              <w:rPr>
                <w:b/>
                <w:sz w:val="22"/>
                <w:szCs w:val="22"/>
              </w:rPr>
              <w:t>Indication of Completion (</w:t>
            </w:r>
            <w:r w:rsidR="00A87054">
              <w:rPr>
                <w:b/>
                <w:sz w:val="22"/>
                <w:szCs w:val="22"/>
              </w:rPr>
              <w:t>o</w:t>
            </w:r>
            <w:r w:rsidRPr="002A715A">
              <w:rPr>
                <w:b/>
                <w:sz w:val="22"/>
                <w:szCs w:val="22"/>
              </w:rPr>
              <w:t xml:space="preserve">bjective evidence to be supplied by </w:t>
            </w:r>
            <w:proofErr w:type="spellStart"/>
            <w:r w:rsidR="00A87054">
              <w:rPr>
                <w:b/>
                <w:sz w:val="22"/>
                <w:szCs w:val="22"/>
              </w:rPr>
              <w:t>Farmsecure</w:t>
            </w:r>
            <w:proofErr w:type="spellEnd"/>
            <w:r w:rsidRPr="002A715A">
              <w:rPr>
                <w:b/>
                <w:sz w:val="22"/>
                <w:szCs w:val="22"/>
              </w:rPr>
              <w:t xml:space="preserve"> to IFC)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center"/>
          </w:tcPr>
          <w:p w:rsidR="00E511CD" w:rsidRPr="002A715A" w:rsidRDefault="0052239E" w:rsidP="008159D6">
            <w:pPr>
              <w:jc w:val="center"/>
              <w:rPr>
                <w:b/>
                <w:sz w:val="22"/>
                <w:szCs w:val="22"/>
              </w:rPr>
            </w:pPr>
            <w:r w:rsidRPr="002A715A">
              <w:rPr>
                <w:b/>
                <w:sz w:val="22"/>
                <w:szCs w:val="22"/>
              </w:rPr>
              <w:t>Completion Date</w:t>
            </w:r>
          </w:p>
        </w:tc>
      </w:tr>
      <w:tr w:rsidR="00A94018" w:rsidRPr="001D7780" w:rsidTr="003878CE">
        <w:tc>
          <w:tcPr>
            <w:tcW w:w="583" w:type="dxa"/>
            <w:shd w:val="clear" w:color="auto" w:fill="D9D9D9" w:themeFill="background1" w:themeFillShade="D9"/>
          </w:tcPr>
          <w:p w:rsidR="00A94018" w:rsidRPr="002A715A" w:rsidRDefault="00A94018" w:rsidP="002D4DAD">
            <w:pPr>
              <w:jc w:val="both"/>
              <w:rPr>
                <w:b/>
                <w:sz w:val="22"/>
                <w:szCs w:val="22"/>
              </w:rPr>
            </w:pPr>
            <w:r w:rsidRPr="002A715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47" w:type="dxa"/>
            <w:gridSpan w:val="3"/>
            <w:shd w:val="clear" w:color="auto" w:fill="D9D9D9" w:themeFill="background1" w:themeFillShade="D9"/>
          </w:tcPr>
          <w:p w:rsidR="00A94018" w:rsidRPr="002A715A" w:rsidRDefault="00FC7218" w:rsidP="00A94018">
            <w:pPr>
              <w:rPr>
                <w:b/>
                <w:sz w:val="22"/>
                <w:szCs w:val="22"/>
              </w:rPr>
            </w:pPr>
            <w:r w:rsidRPr="00FC7218">
              <w:rPr>
                <w:b/>
                <w:bCs/>
                <w:sz w:val="22"/>
                <w:szCs w:val="22"/>
              </w:rPr>
              <w:t>Assessment and Management of Environmental and Social Risks and Impacts</w:t>
            </w:r>
          </w:p>
        </w:tc>
      </w:tr>
      <w:tr w:rsidR="0052239E" w:rsidRPr="00180D89" w:rsidTr="003878CE">
        <w:tc>
          <w:tcPr>
            <w:tcW w:w="583" w:type="dxa"/>
          </w:tcPr>
          <w:p w:rsidR="0052239E" w:rsidRPr="001D7780" w:rsidRDefault="0052239E" w:rsidP="00292D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5" w:type="dxa"/>
          </w:tcPr>
          <w:p w:rsidR="005F27F6" w:rsidRDefault="00FA019C" w:rsidP="00EE219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Using the </w:t>
            </w:r>
            <w:r w:rsidRPr="00FA019C">
              <w:rPr>
                <w:sz w:val="22"/>
                <w:szCs w:val="22"/>
              </w:rPr>
              <w:t xml:space="preserve">Coastal &amp; Environmental Services, 2011 </w:t>
            </w:r>
            <w:r w:rsidR="005F27F6">
              <w:rPr>
                <w:sz w:val="22"/>
                <w:szCs w:val="22"/>
              </w:rPr>
              <w:t>e</w:t>
            </w:r>
            <w:r w:rsidRPr="00FA019C">
              <w:rPr>
                <w:sz w:val="22"/>
                <w:szCs w:val="22"/>
              </w:rPr>
              <w:t xml:space="preserve">nvironmental and </w:t>
            </w:r>
            <w:r w:rsidR="005F27F6">
              <w:rPr>
                <w:sz w:val="22"/>
                <w:szCs w:val="22"/>
              </w:rPr>
              <w:t>s</w:t>
            </w:r>
            <w:r w:rsidRPr="00FA019C">
              <w:rPr>
                <w:sz w:val="22"/>
                <w:szCs w:val="22"/>
              </w:rPr>
              <w:t xml:space="preserve">ocial </w:t>
            </w:r>
            <w:r w:rsidR="005F27F6">
              <w:rPr>
                <w:sz w:val="22"/>
                <w:szCs w:val="22"/>
              </w:rPr>
              <w:t>d</w:t>
            </w:r>
            <w:r w:rsidRPr="00FA019C">
              <w:rPr>
                <w:sz w:val="22"/>
                <w:szCs w:val="22"/>
              </w:rPr>
              <w:t xml:space="preserve">ue </w:t>
            </w:r>
            <w:r w:rsidR="005F27F6">
              <w:rPr>
                <w:sz w:val="22"/>
                <w:szCs w:val="22"/>
              </w:rPr>
              <w:t>d</w:t>
            </w:r>
            <w:r w:rsidRPr="00FA019C">
              <w:rPr>
                <w:sz w:val="22"/>
                <w:szCs w:val="22"/>
              </w:rPr>
              <w:t xml:space="preserve">iligence </w:t>
            </w:r>
            <w:r w:rsidR="005F27F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eport</w:t>
            </w:r>
            <w:r w:rsidR="003002E7">
              <w:rPr>
                <w:sz w:val="22"/>
                <w:szCs w:val="22"/>
              </w:rPr>
              <w:t xml:space="preserve"> as a baseline</w:t>
            </w:r>
            <w:r w:rsidRPr="00FA019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</w:t>
            </w:r>
            <w:r w:rsidR="0052239E" w:rsidRPr="001D7780">
              <w:rPr>
                <w:sz w:val="22"/>
                <w:szCs w:val="22"/>
              </w:rPr>
              <w:t xml:space="preserve">evelop </w:t>
            </w:r>
            <w:r w:rsidR="00FC7218">
              <w:rPr>
                <w:sz w:val="22"/>
                <w:szCs w:val="22"/>
              </w:rPr>
              <w:t xml:space="preserve">and implement a robust </w:t>
            </w:r>
            <w:r w:rsidR="0052239E" w:rsidRPr="001D7780">
              <w:rPr>
                <w:sz w:val="22"/>
                <w:szCs w:val="22"/>
              </w:rPr>
              <w:t>an</w:t>
            </w:r>
            <w:r w:rsidR="00FC7218">
              <w:rPr>
                <w:sz w:val="22"/>
                <w:szCs w:val="22"/>
              </w:rPr>
              <w:t>d auditable</w:t>
            </w:r>
            <w:r w:rsidR="0052239E" w:rsidRPr="001D7780">
              <w:rPr>
                <w:sz w:val="22"/>
                <w:szCs w:val="22"/>
              </w:rPr>
              <w:t xml:space="preserve"> E</w:t>
            </w:r>
            <w:r w:rsidR="00FC7218">
              <w:rPr>
                <w:sz w:val="22"/>
                <w:szCs w:val="22"/>
              </w:rPr>
              <w:t xml:space="preserve">nvironmental and </w:t>
            </w:r>
            <w:r w:rsidR="0052239E" w:rsidRPr="001D7780">
              <w:rPr>
                <w:sz w:val="22"/>
                <w:szCs w:val="22"/>
              </w:rPr>
              <w:t>S</w:t>
            </w:r>
            <w:r w:rsidR="00FC7218">
              <w:rPr>
                <w:sz w:val="22"/>
                <w:szCs w:val="22"/>
              </w:rPr>
              <w:t xml:space="preserve">ocial </w:t>
            </w:r>
            <w:r w:rsidR="0052239E" w:rsidRPr="001D7780">
              <w:rPr>
                <w:sz w:val="22"/>
                <w:szCs w:val="22"/>
              </w:rPr>
              <w:t>M</w:t>
            </w:r>
            <w:r w:rsidR="00FC7218">
              <w:rPr>
                <w:sz w:val="22"/>
                <w:szCs w:val="22"/>
              </w:rPr>
              <w:t xml:space="preserve">anagement </w:t>
            </w:r>
            <w:r w:rsidR="0052239E" w:rsidRPr="001D7780">
              <w:rPr>
                <w:sz w:val="22"/>
                <w:szCs w:val="22"/>
              </w:rPr>
              <w:t>S</w:t>
            </w:r>
            <w:r w:rsidR="00FC7218">
              <w:rPr>
                <w:sz w:val="22"/>
                <w:szCs w:val="22"/>
              </w:rPr>
              <w:t>ystem (E</w:t>
            </w:r>
            <w:r w:rsidR="003002E7">
              <w:rPr>
                <w:sz w:val="22"/>
                <w:szCs w:val="22"/>
              </w:rPr>
              <w:t>S</w:t>
            </w:r>
            <w:r w:rsidR="00FC7218">
              <w:rPr>
                <w:sz w:val="22"/>
                <w:szCs w:val="22"/>
              </w:rPr>
              <w:t>MS)</w:t>
            </w:r>
            <w:r>
              <w:rPr>
                <w:sz w:val="22"/>
                <w:szCs w:val="22"/>
              </w:rPr>
              <w:t>,</w:t>
            </w:r>
            <w:r w:rsidR="0052239E" w:rsidRPr="001D77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based </w:t>
            </w:r>
            <w:r w:rsidRPr="00FA019C">
              <w:rPr>
                <w:sz w:val="22"/>
                <w:szCs w:val="22"/>
              </w:rPr>
              <w:t>on the ISO 14001 standards framework</w:t>
            </w:r>
            <w:r w:rsidR="005F27F6">
              <w:rPr>
                <w:sz w:val="22"/>
                <w:szCs w:val="22"/>
              </w:rPr>
              <w:t>.</w:t>
            </w:r>
          </w:p>
          <w:p w:rsidR="005F27F6" w:rsidRDefault="005F27F6" w:rsidP="00EE219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5F27F6">
              <w:rPr>
                <w:sz w:val="22"/>
                <w:szCs w:val="22"/>
              </w:rPr>
              <w:t xml:space="preserve">The ESMS will incorporate a comprehensive environmental and social due diligence procedure to evaluate prospective farming operations to ensure their compliance with </w:t>
            </w:r>
            <w:r w:rsidR="00655200">
              <w:rPr>
                <w:sz w:val="22"/>
                <w:szCs w:val="22"/>
              </w:rPr>
              <w:t xml:space="preserve">host country </w:t>
            </w:r>
            <w:r w:rsidRPr="005F27F6">
              <w:rPr>
                <w:sz w:val="22"/>
                <w:szCs w:val="22"/>
                <w:lang w:val="en-GB"/>
              </w:rPr>
              <w:t xml:space="preserve">national legal and regulatory requirements, </w:t>
            </w:r>
            <w:r w:rsidRPr="005F27F6">
              <w:rPr>
                <w:sz w:val="22"/>
                <w:szCs w:val="22"/>
              </w:rPr>
              <w:t>IFC’s Performance Standards and relevant World Bank Group (WBG’s) Environmental, Health and Safety (EHS) Guidelines.</w:t>
            </w:r>
          </w:p>
          <w:p w:rsidR="0052239E" w:rsidRPr="001D7780" w:rsidRDefault="000457B2" w:rsidP="00EE219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Submit </w:t>
            </w:r>
            <w:r w:rsidRPr="001D7780">
              <w:rPr>
                <w:sz w:val="22"/>
                <w:szCs w:val="22"/>
              </w:rPr>
              <w:t xml:space="preserve">the E&amp;S due diligence for the first five </w:t>
            </w:r>
            <w:r w:rsidR="00124E40">
              <w:rPr>
                <w:sz w:val="22"/>
                <w:szCs w:val="22"/>
              </w:rPr>
              <w:t>farm selections</w:t>
            </w:r>
            <w:r w:rsidR="00180D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180D89">
              <w:rPr>
                <w:sz w:val="22"/>
                <w:szCs w:val="22"/>
              </w:rPr>
              <w:t xml:space="preserve">after implementation of the new ESMS, </w:t>
            </w:r>
            <w:r>
              <w:rPr>
                <w:sz w:val="22"/>
                <w:szCs w:val="22"/>
              </w:rPr>
              <w:t xml:space="preserve">to </w:t>
            </w:r>
            <w:r w:rsidR="0052239E" w:rsidRPr="001D7780">
              <w:rPr>
                <w:sz w:val="22"/>
                <w:szCs w:val="22"/>
              </w:rPr>
              <w:t xml:space="preserve">IFC </w:t>
            </w:r>
            <w:r>
              <w:rPr>
                <w:sz w:val="22"/>
                <w:szCs w:val="22"/>
              </w:rPr>
              <w:t>for</w:t>
            </w:r>
            <w:r w:rsidR="0052239E" w:rsidRPr="001D7780">
              <w:rPr>
                <w:sz w:val="22"/>
                <w:szCs w:val="22"/>
              </w:rPr>
              <w:t xml:space="preserve"> review, comment and clearance</w:t>
            </w:r>
            <w:r w:rsidR="003002E7">
              <w:rPr>
                <w:sz w:val="22"/>
                <w:szCs w:val="22"/>
              </w:rPr>
              <w:t xml:space="preserve">. </w:t>
            </w:r>
          </w:p>
          <w:p w:rsidR="0045520C" w:rsidRPr="001D7780" w:rsidRDefault="00EE2195" w:rsidP="00EF37CE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E117B" w:rsidRPr="001D7780">
              <w:rPr>
                <w:sz w:val="22"/>
                <w:szCs w:val="22"/>
              </w:rPr>
              <w:t>ontinuously review and update the ESMS</w:t>
            </w:r>
          </w:p>
        </w:tc>
        <w:tc>
          <w:tcPr>
            <w:tcW w:w="4216" w:type="dxa"/>
          </w:tcPr>
          <w:p w:rsidR="00B512AE" w:rsidRPr="00B512AE" w:rsidRDefault="00B512AE" w:rsidP="00E511C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512AE">
              <w:rPr>
                <w:sz w:val="22"/>
                <w:szCs w:val="22"/>
              </w:rPr>
              <w:t>ESMS submitted to IFC for review</w:t>
            </w:r>
          </w:p>
          <w:p w:rsidR="000457B2" w:rsidRPr="001D7780" w:rsidRDefault="000457B2" w:rsidP="00E511C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D7780">
              <w:rPr>
                <w:sz w:val="22"/>
                <w:szCs w:val="22"/>
              </w:rPr>
              <w:t xml:space="preserve">E&amp;S due diligence for the first five </w:t>
            </w:r>
            <w:r w:rsidR="0016591F">
              <w:rPr>
                <w:sz w:val="22"/>
                <w:szCs w:val="22"/>
              </w:rPr>
              <w:t>contracts</w:t>
            </w:r>
            <w:r w:rsidR="0016591F" w:rsidRPr="001D77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submitted to IFC </w:t>
            </w:r>
            <w:r w:rsidR="0016591F">
              <w:rPr>
                <w:sz w:val="22"/>
                <w:szCs w:val="22"/>
              </w:rPr>
              <w:t>for review and sign-off</w:t>
            </w:r>
          </w:p>
          <w:p w:rsidR="005E117B" w:rsidRPr="001D7780" w:rsidRDefault="005E117B" w:rsidP="00E511C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D7780">
              <w:rPr>
                <w:sz w:val="22"/>
                <w:szCs w:val="22"/>
              </w:rPr>
              <w:t xml:space="preserve">Updated ESMS </w:t>
            </w:r>
          </w:p>
        </w:tc>
        <w:tc>
          <w:tcPr>
            <w:tcW w:w="4216" w:type="dxa"/>
          </w:tcPr>
          <w:p w:rsidR="00C12077" w:rsidRPr="00180D89" w:rsidRDefault="0016591F" w:rsidP="00A9401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January 31 201</w:t>
            </w:r>
            <w:r w:rsidR="00BA2119">
              <w:rPr>
                <w:sz w:val="22"/>
                <w:szCs w:val="22"/>
              </w:rPr>
              <w:t>3</w:t>
            </w:r>
            <w:r w:rsidR="00180D89">
              <w:rPr>
                <w:sz w:val="22"/>
                <w:szCs w:val="22"/>
              </w:rPr>
              <w:t xml:space="preserve"> </w:t>
            </w:r>
            <w:r w:rsidR="0043718B">
              <w:rPr>
                <w:sz w:val="22"/>
                <w:szCs w:val="22"/>
              </w:rPr>
              <w:t>for the ESMS development</w:t>
            </w:r>
            <w:r w:rsidR="00180D89">
              <w:rPr>
                <w:sz w:val="22"/>
                <w:szCs w:val="22"/>
              </w:rPr>
              <w:t xml:space="preserve"> </w:t>
            </w:r>
          </w:p>
          <w:p w:rsidR="005E117B" w:rsidRPr="00180D89" w:rsidRDefault="005E117B" w:rsidP="00A9401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0D89">
              <w:rPr>
                <w:sz w:val="22"/>
                <w:szCs w:val="22"/>
              </w:rPr>
              <w:t>Every two years for the review and update of ESMS</w:t>
            </w:r>
          </w:p>
        </w:tc>
      </w:tr>
      <w:tr w:rsidR="00EF37CE" w:rsidRPr="00180D89" w:rsidDel="00A87054" w:rsidTr="007E78F4">
        <w:tc>
          <w:tcPr>
            <w:tcW w:w="583" w:type="dxa"/>
            <w:shd w:val="clear" w:color="auto" w:fill="FFFFFF" w:themeFill="background1"/>
          </w:tcPr>
          <w:p w:rsidR="00EF37CE" w:rsidRPr="00180D89" w:rsidDel="00A87054" w:rsidRDefault="00EF37CE" w:rsidP="00292D0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 w:themeFill="background1"/>
          </w:tcPr>
          <w:p w:rsidR="00EF37CE" w:rsidRPr="00EF37CE" w:rsidDel="00A87054" w:rsidRDefault="00EF37CE" w:rsidP="00EF37CE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EF37CE">
              <w:rPr>
                <w:bCs/>
                <w:sz w:val="22"/>
                <w:szCs w:val="22"/>
              </w:rPr>
              <w:t>Develop a formal system to deal with external queries, concerns, and grievances for contracted farms and operations as part of the ESMS.</w:t>
            </w:r>
          </w:p>
        </w:tc>
        <w:tc>
          <w:tcPr>
            <w:tcW w:w="4216" w:type="dxa"/>
            <w:shd w:val="clear" w:color="auto" w:fill="FFFFFF" w:themeFill="background1"/>
          </w:tcPr>
          <w:p w:rsidR="000625C4" w:rsidRPr="001D7780" w:rsidRDefault="000625C4" w:rsidP="000625C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D7780">
              <w:rPr>
                <w:sz w:val="22"/>
                <w:szCs w:val="22"/>
              </w:rPr>
              <w:t xml:space="preserve">opy of the written procedure </w:t>
            </w:r>
            <w:r>
              <w:rPr>
                <w:sz w:val="22"/>
                <w:szCs w:val="22"/>
              </w:rPr>
              <w:t xml:space="preserve">submitted to IFC </w:t>
            </w:r>
            <w:r w:rsidRPr="001D7780">
              <w:rPr>
                <w:sz w:val="22"/>
                <w:szCs w:val="22"/>
              </w:rPr>
              <w:t>for review</w:t>
            </w:r>
            <w:r>
              <w:rPr>
                <w:sz w:val="22"/>
                <w:szCs w:val="22"/>
              </w:rPr>
              <w:t>,</w:t>
            </w:r>
            <w:r w:rsidRPr="001D7780">
              <w:rPr>
                <w:sz w:val="22"/>
                <w:szCs w:val="22"/>
              </w:rPr>
              <w:t xml:space="preserve"> comment</w:t>
            </w:r>
            <w:r>
              <w:rPr>
                <w:sz w:val="22"/>
                <w:szCs w:val="22"/>
              </w:rPr>
              <w:t xml:space="preserve"> and sign-off</w:t>
            </w:r>
            <w:r w:rsidRPr="001D7780">
              <w:rPr>
                <w:sz w:val="22"/>
                <w:szCs w:val="22"/>
              </w:rPr>
              <w:t>.</w:t>
            </w:r>
          </w:p>
          <w:p w:rsidR="00EF37CE" w:rsidRPr="00180D89" w:rsidDel="00A87054" w:rsidRDefault="000625C4" w:rsidP="000625C4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1D7780">
              <w:rPr>
                <w:sz w:val="22"/>
                <w:szCs w:val="22"/>
              </w:rPr>
              <w:t>Report on grievances</w:t>
            </w:r>
          </w:p>
        </w:tc>
        <w:tc>
          <w:tcPr>
            <w:tcW w:w="4216" w:type="dxa"/>
            <w:shd w:val="clear" w:color="auto" w:fill="FFFFFF" w:themeFill="background1"/>
          </w:tcPr>
          <w:p w:rsidR="00CF211F" w:rsidRDefault="00CF211F" w:rsidP="007008FE">
            <w:pPr>
              <w:jc w:val="both"/>
              <w:rPr>
                <w:sz w:val="22"/>
                <w:szCs w:val="22"/>
              </w:rPr>
            </w:pPr>
            <w:r w:rsidRPr="00CF211F">
              <w:rPr>
                <w:sz w:val="22"/>
                <w:szCs w:val="22"/>
              </w:rPr>
              <w:t>By January 31 2013 for the grievance procedure</w:t>
            </w:r>
          </w:p>
          <w:p w:rsidR="00CF211F" w:rsidRDefault="00CF211F" w:rsidP="007008FE">
            <w:pPr>
              <w:jc w:val="both"/>
              <w:rPr>
                <w:sz w:val="22"/>
                <w:szCs w:val="22"/>
              </w:rPr>
            </w:pPr>
          </w:p>
          <w:p w:rsidR="00EF37CE" w:rsidRPr="00CF211F" w:rsidDel="00A87054" w:rsidRDefault="00CF211F" w:rsidP="0070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Recorded </w:t>
            </w:r>
            <w:r w:rsidRPr="00CF211F">
              <w:rPr>
                <w:sz w:val="22"/>
                <w:szCs w:val="22"/>
              </w:rPr>
              <w:t xml:space="preserve">grievances </w:t>
            </w:r>
            <w:r>
              <w:rPr>
                <w:sz w:val="22"/>
                <w:szCs w:val="22"/>
              </w:rPr>
              <w:t xml:space="preserve">provided </w:t>
            </w:r>
            <w:r w:rsidRPr="00CF211F">
              <w:rPr>
                <w:sz w:val="22"/>
                <w:szCs w:val="22"/>
              </w:rPr>
              <w:t xml:space="preserve">in the AMR </w:t>
            </w:r>
          </w:p>
        </w:tc>
      </w:tr>
      <w:tr w:rsidR="000E75E5" w:rsidRPr="00180D89" w:rsidDel="00A87054" w:rsidTr="000E75E5">
        <w:tc>
          <w:tcPr>
            <w:tcW w:w="583" w:type="dxa"/>
            <w:shd w:val="clear" w:color="auto" w:fill="D9D9D9" w:themeFill="background1" w:themeFillShade="D9"/>
          </w:tcPr>
          <w:p w:rsidR="000E75E5" w:rsidRPr="000E75E5" w:rsidDel="00A87054" w:rsidRDefault="000E75E5" w:rsidP="00292D09">
            <w:pPr>
              <w:jc w:val="both"/>
              <w:rPr>
                <w:b/>
                <w:sz w:val="22"/>
                <w:szCs w:val="22"/>
              </w:rPr>
            </w:pPr>
            <w:r w:rsidRPr="000E75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47" w:type="dxa"/>
            <w:gridSpan w:val="3"/>
            <w:shd w:val="clear" w:color="auto" w:fill="D9D9D9" w:themeFill="background1" w:themeFillShade="D9"/>
          </w:tcPr>
          <w:p w:rsidR="000E75E5" w:rsidRPr="008159D6" w:rsidRDefault="009233A9" w:rsidP="007008FE">
            <w:pPr>
              <w:jc w:val="both"/>
              <w:rPr>
                <w:b/>
                <w:sz w:val="22"/>
                <w:szCs w:val="22"/>
              </w:rPr>
            </w:pPr>
            <w:r w:rsidRPr="008159D6">
              <w:rPr>
                <w:b/>
                <w:color w:val="000000"/>
              </w:rPr>
              <w:t>Pollution Prevention and Abatement</w:t>
            </w:r>
            <w:r w:rsidRPr="008159D6">
              <w:rPr>
                <w:b/>
              </w:rPr>
              <w:t xml:space="preserve"> </w:t>
            </w:r>
          </w:p>
        </w:tc>
      </w:tr>
      <w:tr w:rsidR="000E75E5" w:rsidRPr="00180D89" w:rsidDel="00A87054" w:rsidTr="007E78F4">
        <w:tc>
          <w:tcPr>
            <w:tcW w:w="583" w:type="dxa"/>
            <w:shd w:val="clear" w:color="auto" w:fill="FFFFFF" w:themeFill="background1"/>
          </w:tcPr>
          <w:p w:rsidR="000E75E5" w:rsidRPr="00180D89" w:rsidDel="00A87054" w:rsidRDefault="000E75E5" w:rsidP="00292D0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99"/>
            </w:tblGrid>
            <w:tr w:rsidR="000E75E5" w:rsidRPr="000E75E5">
              <w:trPr>
                <w:trHeight w:val="226"/>
              </w:trPr>
              <w:tc>
                <w:tcPr>
                  <w:tcW w:w="0" w:type="auto"/>
                </w:tcPr>
                <w:p w:rsidR="000E75E5" w:rsidRPr="000E75E5" w:rsidRDefault="000E75E5" w:rsidP="000E75E5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E75E5">
                    <w:rPr>
                      <w:bCs/>
                      <w:sz w:val="22"/>
                      <w:szCs w:val="22"/>
                    </w:rPr>
                    <w:t xml:space="preserve"> Account and report G</w:t>
                  </w:r>
                  <w:r w:rsidR="00E81543">
                    <w:rPr>
                      <w:bCs/>
                      <w:sz w:val="22"/>
                      <w:szCs w:val="22"/>
                    </w:rPr>
                    <w:t xml:space="preserve">reen </w:t>
                  </w:r>
                  <w:r w:rsidRPr="000E75E5">
                    <w:rPr>
                      <w:bCs/>
                      <w:sz w:val="22"/>
                      <w:szCs w:val="22"/>
                    </w:rPr>
                    <w:t>H</w:t>
                  </w:r>
                  <w:r w:rsidR="00E81543">
                    <w:rPr>
                      <w:bCs/>
                      <w:sz w:val="22"/>
                      <w:szCs w:val="22"/>
                    </w:rPr>
                    <w:t xml:space="preserve">ouse </w:t>
                  </w:r>
                  <w:r w:rsidRPr="000E75E5">
                    <w:rPr>
                      <w:bCs/>
                      <w:sz w:val="22"/>
                      <w:szCs w:val="22"/>
                    </w:rPr>
                    <w:t>G</w:t>
                  </w:r>
                  <w:r w:rsidR="00E81543">
                    <w:rPr>
                      <w:bCs/>
                      <w:sz w:val="22"/>
                      <w:szCs w:val="22"/>
                    </w:rPr>
                    <w:t>ases (GHG)</w:t>
                  </w:r>
                  <w:r w:rsidRPr="000E75E5">
                    <w:rPr>
                      <w:bCs/>
                      <w:sz w:val="22"/>
                      <w:szCs w:val="22"/>
                    </w:rPr>
                    <w:t xml:space="preserve"> emissions on an annual basis.</w:t>
                  </w:r>
                </w:p>
              </w:tc>
            </w:tr>
          </w:tbl>
          <w:p w:rsidR="000E75E5" w:rsidRPr="00EF37CE" w:rsidRDefault="000E75E5" w:rsidP="000E75E5">
            <w:pPr>
              <w:pStyle w:val="ListParagraph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16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00"/>
            </w:tblGrid>
            <w:tr w:rsidR="000E75E5" w:rsidRPr="000E75E5">
              <w:trPr>
                <w:trHeight w:val="226"/>
              </w:trPr>
              <w:tc>
                <w:tcPr>
                  <w:tcW w:w="0" w:type="auto"/>
                </w:tcPr>
                <w:p w:rsidR="000E75E5" w:rsidRPr="000E75E5" w:rsidRDefault="000E75E5" w:rsidP="000E75E5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</w:rPr>
                  </w:pPr>
                  <w:r w:rsidRPr="000E75E5">
                    <w:rPr>
                      <w:sz w:val="22"/>
                      <w:szCs w:val="22"/>
                    </w:rPr>
                    <w:t xml:space="preserve">Inclusion of the GHG emissions in the Annual Monitoring Report provided to IFC </w:t>
                  </w:r>
                </w:p>
              </w:tc>
            </w:tr>
          </w:tbl>
          <w:p w:rsidR="000E75E5" w:rsidRDefault="000E75E5" w:rsidP="000E75E5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4216" w:type="dxa"/>
            <w:shd w:val="clear" w:color="auto" w:fill="FFFFFF" w:themeFill="background1"/>
          </w:tcPr>
          <w:p w:rsidR="000E75E5" w:rsidRPr="00CF211F" w:rsidRDefault="000E75E5" w:rsidP="0070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Yearly basis</w:t>
            </w:r>
          </w:p>
        </w:tc>
      </w:tr>
    </w:tbl>
    <w:p w:rsidR="00E511CD" w:rsidRDefault="00E511CD" w:rsidP="00E511CD"/>
    <w:sectPr w:rsidR="00E511CD" w:rsidSect="00E511C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7C86"/>
    <w:multiLevelType w:val="hybridMultilevel"/>
    <w:tmpl w:val="0ACEF858"/>
    <w:lvl w:ilvl="0" w:tplc="CFA80C88">
      <w:start w:val="2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4F62"/>
    <w:multiLevelType w:val="hybridMultilevel"/>
    <w:tmpl w:val="46C8FB60"/>
    <w:lvl w:ilvl="0" w:tplc="BBDA551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44CDA"/>
    <w:multiLevelType w:val="hybridMultilevel"/>
    <w:tmpl w:val="FB1CFD12"/>
    <w:lvl w:ilvl="0" w:tplc="D55008F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53C8C"/>
    <w:multiLevelType w:val="hybridMultilevel"/>
    <w:tmpl w:val="1D7A1B18"/>
    <w:lvl w:ilvl="0" w:tplc="BEDEF336">
      <w:start w:val="3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001BE"/>
    <w:multiLevelType w:val="hybridMultilevel"/>
    <w:tmpl w:val="E73A5000"/>
    <w:lvl w:ilvl="0" w:tplc="8CB479F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62C03"/>
    <w:multiLevelType w:val="hybridMultilevel"/>
    <w:tmpl w:val="4940800C"/>
    <w:lvl w:ilvl="0" w:tplc="F5D6DAFA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5240"/>
    <w:multiLevelType w:val="hybridMultilevel"/>
    <w:tmpl w:val="4D4A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C02D1"/>
    <w:multiLevelType w:val="hybridMultilevel"/>
    <w:tmpl w:val="97704A50"/>
    <w:lvl w:ilvl="0" w:tplc="5F2A627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63125"/>
    <w:multiLevelType w:val="hybridMultilevel"/>
    <w:tmpl w:val="73DE9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53567E"/>
    <w:multiLevelType w:val="hybridMultilevel"/>
    <w:tmpl w:val="E0DC0874"/>
    <w:lvl w:ilvl="0" w:tplc="7B22620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64B3A"/>
    <w:multiLevelType w:val="hybridMultilevel"/>
    <w:tmpl w:val="37201B52"/>
    <w:lvl w:ilvl="0" w:tplc="B3AA0B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75663"/>
    <w:multiLevelType w:val="hybridMultilevel"/>
    <w:tmpl w:val="CCA42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842CDD"/>
    <w:multiLevelType w:val="hybridMultilevel"/>
    <w:tmpl w:val="982A1808"/>
    <w:lvl w:ilvl="0" w:tplc="BE5679A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D53AE"/>
    <w:multiLevelType w:val="hybridMultilevel"/>
    <w:tmpl w:val="102A7236"/>
    <w:lvl w:ilvl="0" w:tplc="B3AA0B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12907"/>
    <w:multiLevelType w:val="hybridMultilevel"/>
    <w:tmpl w:val="43FC7630"/>
    <w:lvl w:ilvl="0" w:tplc="FBB6266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16428"/>
    <w:multiLevelType w:val="hybridMultilevel"/>
    <w:tmpl w:val="362A4E48"/>
    <w:lvl w:ilvl="0" w:tplc="31888CE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87E29"/>
    <w:multiLevelType w:val="hybridMultilevel"/>
    <w:tmpl w:val="CB4E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52C74"/>
    <w:multiLevelType w:val="hybridMultilevel"/>
    <w:tmpl w:val="14123970"/>
    <w:lvl w:ilvl="0" w:tplc="B0DEB06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C26AB"/>
    <w:multiLevelType w:val="hybridMultilevel"/>
    <w:tmpl w:val="645A6760"/>
    <w:lvl w:ilvl="0" w:tplc="C93A6D7E">
      <w:start w:val="2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A5858"/>
    <w:multiLevelType w:val="hybridMultilevel"/>
    <w:tmpl w:val="E122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7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5"/>
  </w:num>
  <w:num w:numId="11">
    <w:abstractNumId w:val="2"/>
  </w:num>
  <w:num w:numId="12">
    <w:abstractNumId w:val="11"/>
  </w:num>
  <w:num w:numId="13">
    <w:abstractNumId w:val="10"/>
  </w:num>
  <w:num w:numId="14">
    <w:abstractNumId w:val="12"/>
  </w:num>
  <w:num w:numId="15">
    <w:abstractNumId w:val="0"/>
  </w:num>
  <w:num w:numId="16">
    <w:abstractNumId w:val="3"/>
  </w:num>
  <w:num w:numId="17">
    <w:abstractNumId w:val="9"/>
  </w:num>
  <w:num w:numId="18">
    <w:abstractNumId w:val="4"/>
  </w:num>
  <w:num w:numId="19">
    <w:abstractNumId w:val="1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trackRevisions/>
  <w:defaultTabStop w:val="720"/>
  <w:drawingGridHorizontalSpacing w:val="120"/>
  <w:displayHorizontalDrawingGridEvery w:val="2"/>
  <w:characterSpacingControl w:val="doNotCompress"/>
  <w:compat/>
  <w:rsids>
    <w:rsidRoot w:val="00E511CD"/>
    <w:rsid w:val="000457B2"/>
    <w:rsid w:val="000625C4"/>
    <w:rsid w:val="000C7287"/>
    <w:rsid w:val="000E75E5"/>
    <w:rsid w:val="00101E2E"/>
    <w:rsid w:val="001121C6"/>
    <w:rsid w:val="00124E40"/>
    <w:rsid w:val="001404F6"/>
    <w:rsid w:val="0016591F"/>
    <w:rsid w:val="00180D89"/>
    <w:rsid w:val="001A5EF0"/>
    <w:rsid w:val="001B7E5B"/>
    <w:rsid w:val="001D7780"/>
    <w:rsid w:val="001E2918"/>
    <w:rsid w:val="001F794A"/>
    <w:rsid w:val="002629E4"/>
    <w:rsid w:val="00271BB6"/>
    <w:rsid w:val="00287775"/>
    <w:rsid w:val="002A5F3C"/>
    <w:rsid w:val="002A715A"/>
    <w:rsid w:val="002E4344"/>
    <w:rsid w:val="002E4BE0"/>
    <w:rsid w:val="003002E7"/>
    <w:rsid w:val="003152FA"/>
    <w:rsid w:val="0035457F"/>
    <w:rsid w:val="003878CE"/>
    <w:rsid w:val="003A5581"/>
    <w:rsid w:val="003B7172"/>
    <w:rsid w:val="00423C50"/>
    <w:rsid w:val="0043718B"/>
    <w:rsid w:val="0045520C"/>
    <w:rsid w:val="00456D25"/>
    <w:rsid w:val="004A2B5B"/>
    <w:rsid w:val="004A7A3D"/>
    <w:rsid w:val="004D0433"/>
    <w:rsid w:val="004E026A"/>
    <w:rsid w:val="004E6D36"/>
    <w:rsid w:val="0052239E"/>
    <w:rsid w:val="00560829"/>
    <w:rsid w:val="005777B2"/>
    <w:rsid w:val="00584B6C"/>
    <w:rsid w:val="005E117B"/>
    <w:rsid w:val="005F27F6"/>
    <w:rsid w:val="006421E5"/>
    <w:rsid w:val="00655200"/>
    <w:rsid w:val="00661F5E"/>
    <w:rsid w:val="007000A5"/>
    <w:rsid w:val="007008FE"/>
    <w:rsid w:val="00711382"/>
    <w:rsid w:val="007E78F4"/>
    <w:rsid w:val="00801C86"/>
    <w:rsid w:val="008159D6"/>
    <w:rsid w:val="008652A9"/>
    <w:rsid w:val="009233A9"/>
    <w:rsid w:val="00995257"/>
    <w:rsid w:val="00A81E5E"/>
    <w:rsid w:val="00A87054"/>
    <w:rsid w:val="00A94018"/>
    <w:rsid w:val="00AB0688"/>
    <w:rsid w:val="00AB538F"/>
    <w:rsid w:val="00AC338A"/>
    <w:rsid w:val="00AF52D6"/>
    <w:rsid w:val="00B36E50"/>
    <w:rsid w:val="00B43A64"/>
    <w:rsid w:val="00B4527D"/>
    <w:rsid w:val="00B512AE"/>
    <w:rsid w:val="00BA2119"/>
    <w:rsid w:val="00C12077"/>
    <w:rsid w:val="00C546D5"/>
    <w:rsid w:val="00C563FB"/>
    <w:rsid w:val="00C94E9F"/>
    <w:rsid w:val="00CF211F"/>
    <w:rsid w:val="00CF3917"/>
    <w:rsid w:val="00D024EC"/>
    <w:rsid w:val="00D629E2"/>
    <w:rsid w:val="00E511CD"/>
    <w:rsid w:val="00E77094"/>
    <w:rsid w:val="00E81543"/>
    <w:rsid w:val="00EA57A5"/>
    <w:rsid w:val="00EC616F"/>
    <w:rsid w:val="00EE2195"/>
    <w:rsid w:val="00EF37CE"/>
    <w:rsid w:val="00F261F8"/>
    <w:rsid w:val="00F64F6E"/>
    <w:rsid w:val="00FA019C"/>
    <w:rsid w:val="00FC7218"/>
    <w:rsid w:val="00FF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1CD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E511CD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rsid w:val="00315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52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120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2077"/>
  </w:style>
  <w:style w:type="paragraph" w:styleId="CommentSubject">
    <w:name w:val="annotation subject"/>
    <w:basedOn w:val="CommentText"/>
    <w:next w:val="CommentText"/>
    <w:link w:val="CommentSubjectChar"/>
    <w:rsid w:val="00C12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0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170B-3C1F-4E9F-9DA4-82E74C44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Hamah</dc:creator>
  <cp:lastModifiedBy>HNdlovu</cp:lastModifiedBy>
  <cp:revision>3</cp:revision>
  <cp:lastPrinted>2012-03-27T12:10:00Z</cp:lastPrinted>
  <dcterms:created xsi:type="dcterms:W3CDTF">2012-04-24T19:23:00Z</dcterms:created>
  <dcterms:modified xsi:type="dcterms:W3CDTF">2012-04-24T19:25:00Z</dcterms:modified>
</cp:coreProperties>
</file>