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15" w:type="dxa"/>
        <w:tblLayout w:type="fixed"/>
        <w:tblLook w:val="04A0" w:firstRow="1" w:lastRow="0" w:firstColumn="1" w:lastColumn="0" w:noHBand="0" w:noVBand="1"/>
      </w:tblPr>
      <w:tblGrid>
        <w:gridCol w:w="895"/>
        <w:gridCol w:w="6480"/>
        <w:gridCol w:w="3420"/>
        <w:gridCol w:w="2520"/>
      </w:tblGrid>
      <w:tr w:rsidR="00225B7D" w:rsidRPr="00804ECA" w14:paraId="16F4A032" w14:textId="77777777" w:rsidTr="00146E92">
        <w:tc>
          <w:tcPr>
            <w:tcW w:w="895" w:type="dxa"/>
            <w:shd w:val="clear" w:color="auto" w:fill="BFBFBF" w:themeFill="background1" w:themeFillShade="BF"/>
          </w:tcPr>
          <w:p w14:paraId="2B83AFD0" w14:textId="77777777" w:rsidR="00225B7D" w:rsidRPr="00804ECA" w:rsidRDefault="00225B7D" w:rsidP="0023457B">
            <w:pPr>
              <w:rPr>
                <w:b/>
                <w:bCs/>
                <w:iCs/>
                <w:sz w:val="20"/>
                <w:szCs w:val="20"/>
              </w:rPr>
            </w:pPr>
            <w:r w:rsidRPr="00804ECA">
              <w:rPr>
                <w:b/>
                <w:bCs/>
                <w:iCs/>
                <w:sz w:val="20"/>
                <w:szCs w:val="20"/>
              </w:rPr>
              <w:t>#</w:t>
            </w:r>
          </w:p>
        </w:tc>
        <w:tc>
          <w:tcPr>
            <w:tcW w:w="6480" w:type="dxa"/>
            <w:shd w:val="clear" w:color="auto" w:fill="BFBFBF" w:themeFill="background1" w:themeFillShade="BF"/>
          </w:tcPr>
          <w:p w14:paraId="75FC995F" w14:textId="77777777" w:rsidR="00225B7D" w:rsidRPr="00804ECA" w:rsidRDefault="00225B7D" w:rsidP="00CE12AA">
            <w:pPr>
              <w:rPr>
                <w:b/>
                <w:bCs/>
                <w:iCs/>
                <w:sz w:val="20"/>
                <w:szCs w:val="20"/>
              </w:rPr>
            </w:pPr>
            <w:r w:rsidRPr="00804ECA">
              <w:rPr>
                <w:b/>
                <w:iCs/>
                <w:sz w:val="20"/>
                <w:szCs w:val="20"/>
              </w:rPr>
              <w:t>Actions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14:paraId="7694D768" w14:textId="77777777" w:rsidR="00225B7D" w:rsidRPr="00804ECA" w:rsidRDefault="00225B7D" w:rsidP="002B268F">
            <w:pPr>
              <w:rPr>
                <w:b/>
                <w:bCs/>
                <w:iCs/>
                <w:sz w:val="20"/>
                <w:szCs w:val="20"/>
              </w:rPr>
            </w:pPr>
            <w:r w:rsidRPr="00804ECA">
              <w:rPr>
                <w:b/>
                <w:iCs/>
                <w:sz w:val="20"/>
                <w:szCs w:val="20"/>
              </w:rPr>
              <w:t>Indicators of Completion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4718A166" w14:textId="77777777" w:rsidR="00225B7D" w:rsidRPr="00804ECA" w:rsidRDefault="00225B7D" w:rsidP="0023457B">
            <w:pPr>
              <w:rPr>
                <w:b/>
                <w:iCs/>
                <w:sz w:val="20"/>
                <w:szCs w:val="20"/>
              </w:rPr>
            </w:pPr>
            <w:r w:rsidRPr="00804ECA">
              <w:rPr>
                <w:b/>
                <w:iCs/>
                <w:sz w:val="20"/>
                <w:szCs w:val="20"/>
              </w:rPr>
              <w:t>Milestone</w:t>
            </w:r>
          </w:p>
        </w:tc>
      </w:tr>
      <w:tr w:rsidR="00225B7D" w:rsidRPr="00BE24CC" w14:paraId="25EF9619" w14:textId="77777777" w:rsidTr="00146E92">
        <w:trPr>
          <w:trHeight w:val="980"/>
        </w:trPr>
        <w:tc>
          <w:tcPr>
            <w:tcW w:w="895" w:type="dxa"/>
          </w:tcPr>
          <w:p w14:paraId="41B26559" w14:textId="77777777" w:rsidR="00225B7D" w:rsidRPr="003B2C89" w:rsidRDefault="00225B7D" w:rsidP="003B2C89">
            <w:pPr>
              <w:contextualSpacing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  <w:p w14:paraId="73E6D03C" w14:textId="77777777" w:rsidR="00225B7D" w:rsidRPr="0076447B" w:rsidRDefault="00225B7D" w:rsidP="0076447B">
            <w:pPr>
              <w:rPr>
                <w:lang w:eastAsia="en-US"/>
              </w:rPr>
            </w:pPr>
          </w:p>
        </w:tc>
        <w:tc>
          <w:tcPr>
            <w:tcW w:w="6480" w:type="dxa"/>
          </w:tcPr>
          <w:p w14:paraId="78CF83E1" w14:textId="49F72B1F" w:rsidR="00225B7D" w:rsidRDefault="00225B7D" w:rsidP="0084140A">
            <w:pPr>
              <w:tabs>
                <w:tab w:val="left" w:pos="5235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 xml:space="preserve">The </w:t>
            </w:r>
            <w:r>
              <w:rPr>
                <w:bCs/>
                <w:iCs/>
                <w:sz w:val="20"/>
                <w:szCs w:val="20"/>
              </w:rPr>
              <w:t xml:space="preserve">Borrower will </w:t>
            </w:r>
            <w:r w:rsidR="0088372D">
              <w:rPr>
                <w:bCs/>
                <w:iCs/>
                <w:sz w:val="20"/>
                <w:szCs w:val="20"/>
              </w:rPr>
              <w:t xml:space="preserve">require the </w:t>
            </w:r>
            <w:r w:rsidRPr="00C60640">
              <w:rPr>
                <w:bCs/>
                <w:iCs/>
                <w:sz w:val="20"/>
                <w:szCs w:val="20"/>
              </w:rPr>
              <w:t xml:space="preserve">project EPC contractor </w:t>
            </w:r>
            <w:r>
              <w:rPr>
                <w:bCs/>
                <w:iCs/>
                <w:sz w:val="20"/>
                <w:szCs w:val="20"/>
              </w:rPr>
              <w:t xml:space="preserve">to </w:t>
            </w:r>
            <w:r w:rsidRPr="00C60640">
              <w:rPr>
                <w:bCs/>
                <w:iCs/>
                <w:sz w:val="20"/>
                <w:szCs w:val="20"/>
              </w:rPr>
              <w:t>identify and appoint an environmental, health and safety (EHS) manager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BF378E">
              <w:rPr>
                <w:bCs/>
                <w:iCs/>
                <w:sz w:val="20"/>
                <w:szCs w:val="20"/>
              </w:rPr>
              <w:t xml:space="preserve">with experience in the application of </w:t>
            </w:r>
            <w:r w:rsidR="006D3718">
              <w:rPr>
                <w:bCs/>
                <w:iCs/>
                <w:sz w:val="20"/>
                <w:szCs w:val="20"/>
              </w:rPr>
              <w:t>the</w:t>
            </w:r>
            <w:r w:rsidR="006D3718" w:rsidRPr="00BF378E">
              <w:rPr>
                <w:bCs/>
                <w:iCs/>
                <w:sz w:val="20"/>
                <w:szCs w:val="20"/>
              </w:rPr>
              <w:t xml:space="preserve"> </w:t>
            </w:r>
            <w:r w:rsidRPr="00BF378E">
              <w:rPr>
                <w:bCs/>
                <w:iCs/>
                <w:sz w:val="20"/>
                <w:szCs w:val="20"/>
              </w:rPr>
              <w:t>E&amp;S standards</w:t>
            </w:r>
            <w:r w:rsidR="006D3718">
              <w:rPr>
                <w:bCs/>
                <w:iCs/>
                <w:sz w:val="20"/>
                <w:szCs w:val="20"/>
              </w:rPr>
              <w:t xml:space="preserve"> of international financial institutions</w:t>
            </w:r>
            <w:r w:rsidRPr="00C60640">
              <w:rPr>
                <w:bCs/>
                <w:iCs/>
                <w:sz w:val="20"/>
                <w:szCs w:val="20"/>
              </w:rPr>
              <w:t xml:space="preserve"> to </w:t>
            </w:r>
            <w:r>
              <w:rPr>
                <w:bCs/>
                <w:iCs/>
                <w:sz w:val="20"/>
                <w:szCs w:val="20"/>
              </w:rPr>
              <w:t>ensure implementation of</w:t>
            </w:r>
            <w:r w:rsidRPr="00C60640">
              <w:rPr>
                <w:bCs/>
                <w:iCs/>
                <w:sz w:val="20"/>
                <w:szCs w:val="20"/>
              </w:rPr>
              <w:t xml:space="preserve"> the </w:t>
            </w:r>
            <w:r w:rsidR="00A23629">
              <w:rPr>
                <w:bCs/>
                <w:iCs/>
                <w:sz w:val="20"/>
                <w:szCs w:val="20"/>
              </w:rPr>
              <w:t>p</w:t>
            </w:r>
            <w:r w:rsidR="00BF378E" w:rsidRPr="00C60640">
              <w:rPr>
                <w:bCs/>
                <w:iCs/>
                <w:sz w:val="20"/>
                <w:szCs w:val="20"/>
              </w:rPr>
              <w:t>roject</w:t>
            </w:r>
            <w:r w:rsidR="00BF378E">
              <w:rPr>
                <w:bCs/>
                <w:iCs/>
                <w:sz w:val="20"/>
                <w:szCs w:val="20"/>
              </w:rPr>
              <w:t>’s</w:t>
            </w:r>
            <w:r w:rsidR="00BF378E" w:rsidRPr="00C60640">
              <w:rPr>
                <w:bCs/>
                <w:iCs/>
                <w:sz w:val="20"/>
                <w:szCs w:val="20"/>
              </w:rPr>
              <w:t xml:space="preserve"> </w:t>
            </w:r>
            <w:r w:rsidRPr="00C60640">
              <w:rPr>
                <w:bCs/>
                <w:iCs/>
                <w:sz w:val="20"/>
                <w:szCs w:val="20"/>
              </w:rPr>
              <w:t>EHS management system</w:t>
            </w:r>
            <w:r>
              <w:rPr>
                <w:bCs/>
                <w:iCs/>
                <w:sz w:val="20"/>
                <w:szCs w:val="20"/>
              </w:rPr>
              <w:t xml:space="preserve"> in the construction phase</w:t>
            </w:r>
            <w:r w:rsidR="00BF378E">
              <w:rPr>
                <w:bCs/>
                <w:iCs/>
                <w:sz w:val="20"/>
                <w:szCs w:val="20"/>
              </w:rPr>
              <w:t>, according to IFC’s E&amp;S standards</w:t>
            </w:r>
            <w:r>
              <w:rPr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3420" w:type="dxa"/>
          </w:tcPr>
          <w:p w14:paraId="4C035921" w14:textId="77777777" w:rsidR="00225B7D" w:rsidRPr="00146E92" w:rsidRDefault="00225B7D" w:rsidP="008B74FC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BF378E">
              <w:rPr>
                <w:bCs/>
                <w:iCs/>
                <w:sz w:val="20"/>
                <w:szCs w:val="20"/>
              </w:rPr>
              <w:t>EHS organizational structure agreed with IFC</w:t>
            </w:r>
            <w:r w:rsidR="008B7865" w:rsidRPr="00BF378E">
              <w:rPr>
                <w:bCs/>
                <w:iCs/>
                <w:sz w:val="20"/>
                <w:szCs w:val="20"/>
              </w:rPr>
              <w:t>.</w:t>
            </w:r>
            <w:r w:rsidRPr="00BF378E">
              <w:rPr>
                <w:bCs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2520" w:type="dxa"/>
          </w:tcPr>
          <w:p w14:paraId="377F33B6" w14:textId="2A3E1FE7" w:rsidR="00225B7D" w:rsidRPr="00146E92" w:rsidRDefault="00BF378E" w:rsidP="00317813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146E92">
              <w:rPr>
                <w:bCs/>
                <w:iCs/>
                <w:sz w:val="20"/>
                <w:szCs w:val="20"/>
              </w:rPr>
              <w:t>60</w:t>
            </w:r>
            <w:r w:rsidRPr="00BF378E">
              <w:rPr>
                <w:bCs/>
                <w:iCs/>
                <w:sz w:val="20"/>
                <w:szCs w:val="20"/>
              </w:rPr>
              <w:t xml:space="preserve"> </w:t>
            </w:r>
            <w:r w:rsidR="00225B7D" w:rsidRPr="00BF378E">
              <w:rPr>
                <w:bCs/>
                <w:iCs/>
                <w:sz w:val="20"/>
                <w:szCs w:val="20"/>
              </w:rPr>
              <w:t>days prior to construction commence</w:t>
            </w:r>
            <w:r w:rsidR="00225B7D" w:rsidRPr="002E37DC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225B7D" w:rsidRPr="00BE24CC" w14:paraId="09AC2903" w14:textId="77777777" w:rsidTr="00146E92">
        <w:tc>
          <w:tcPr>
            <w:tcW w:w="895" w:type="dxa"/>
          </w:tcPr>
          <w:p w14:paraId="735E13C5" w14:textId="77777777" w:rsidR="00225B7D" w:rsidRPr="00BE24CC" w:rsidRDefault="00225B7D" w:rsidP="0084140A">
            <w:pPr>
              <w:contextualSpacing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6480" w:type="dxa"/>
          </w:tcPr>
          <w:p w14:paraId="7B2972D6" w14:textId="2C5A9A04" w:rsidR="00225B7D" w:rsidRPr="00B32C2F" w:rsidRDefault="00225B7D" w:rsidP="00525680">
            <w:p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 xml:space="preserve">The Borrower </w:t>
            </w:r>
            <w:r>
              <w:rPr>
                <w:bCs/>
                <w:iCs/>
                <w:sz w:val="20"/>
                <w:szCs w:val="20"/>
              </w:rPr>
              <w:t xml:space="preserve">will </w:t>
            </w:r>
            <w:r w:rsidR="0088372D">
              <w:rPr>
                <w:bCs/>
                <w:iCs/>
                <w:sz w:val="20"/>
                <w:szCs w:val="20"/>
              </w:rPr>
              <w:t>require the</w:t>
            </w:r>
            <w:r w:rsidR="0088372D" w:rsidRPr="00C60640">
              <w:rPr>
                <w:bCs/>
                <w:iCs/>
                <w:sz w:val="20"/>
                <w:szCs w:val="20"/>
              </w:rPr>
              <w:t xml:space="preserve"> </w:t>
            </w:r>
            <w:r w:rsidRPr="00C60640">
              <w:rPr>
                <w:bCs/>
                <w:iCs/>
                <w:sz w:val="20"/>
                <w:szCs w:val="20"/>
              </w:rPr>
              <w:t xml:space="preserve">project EPC contractor to develop a Construction EHS Management Plan (CEHSMP) comprising </w:t>
            </w:r>
            <w:r>
              <w:rPr>
                <w:bCs/>
                <w:iCs/>
                <w:sz w:val="20"/>
                <w:szCs w:val="20"/>
              </w:rPr>
              <w:t>all</w:t>
            </w:r>
            <w:r w:rsidRPr="00C60640">
              <w:rPr>
                <w:bCs/>
                <w:iCs/>
                <w:sz w:val="20"/>
                <w:szCs w:val="20"/>
              </w:rPr>
              <w:t xml:space="preserve"> environmental, social, health and safety performance requirements</w:t>
            </w:r>
            <w:r>
              <w:rPr>
                <w:bCs/>
                <w:iCs/>
                <w:sz w:val="20"/>
                <w:szCs w:val="20"/>
              </w:rPr>
              <w:t xml:space="preserve"> and</w:t>
            </w:r>
            <w:r w:rsidRPr="00C60640">
              <w:rPr>
                <w:bCs/>
                <w:iCs/>
                <w:sz w:val="20"/>
                <w:szCs w:val="20"/>
              </w:rPr>
              <w:t xml:space="preserve"> detailed timelines for implementation of specific mitigation measures and monitoring activities. </w:t>
            </w:r>
            <w:r>
              <w:rPr>
                <w:bCs/>
                <w:iCs/>
                <w:sz w:val="20"/>
                <w:szCs w:val="20"/>
              </w:rPr>
              <w:t xml:space="preserve">The Borrower will monitor and assure that the management plan is implemented and complies with Borrower’s policies and IFC Performance Standards. </w:t>
            </w:r>
          </w:p>
          <w:p w14:paraId="002768C4" w14:textId="77777777" w:rsidR="00225B7D" w:rsidRDefault="00225B7D" w:rsidP="00225B7D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02EAE5C6" w14:textId="77777777" w:rsidR="00225B7D" w:rsidRPr="00C60640" w:rsidRDefault="00225B7D" w:rsidP="00225B7D">
            <w:p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 xml:space="preserve">Construction </w:t>
            </w:r>
            <w:r>
              <w:rPr>
                <w:bCs/>
                <w:iCs/>
                <w:sz w:val="20"/>
                <w:szCs w:val="20"/>
              </w:rPr>
              <w:t>EHS</w:t>
            </w:r>
            <w:r w:rsidRPr="00C60640">
              <w:rPr>
                <w:bCs/>
                <w:iCs/>
                <w:sz w:val="20"/>
                <w:szCs w:val="20"/>
              </w:rPr>
              <w:t xml:space="preserve"> management plan </w:t>
            </w:r>
            <w:r w:rsidR="00904056">
              <w:rPr>
                <w:bCs/>
                <w:iCs/>
                <w:sz w:val="20"/>
                <w:szCs w:val="20"/>
              </w:rPr>
              <w:t xml:space="preserve">will </w:t>
            </w:r>
            <w:r>
              <w:rPr>
                <w:bCs/>
                <w:iCs/>
                <w:sz w:val="20"/>
                <w:szCs w:val="20"/>
              </w:rPr>
              <w:t xml:space="preserve">define responsibilities, include subcontractor managements, and </w:t>
            </w:r>
            <w:r w:rsidR="00995C6D">
              <w:rPr>
                <w:bCs/>
                <w:iCs/>
                <w:sz w:val="20"/>
                <w:szCs w:val="20"/>
              </w:rPr>
              <w:t xml:space="preserve">will comprise </w:t>
            </w:r>
            <w:r w:rsidR="00995C6D" w:rsidRPr="00C60640">
              <w:rPr>
                <w:bCs/>
                <w:iCs/>
                <w:sz w:val="20"/>
                <w:szCs w:val="20"/>
              </w:rPr>
              <w:t>the</w:t>
            </w:r>
            <w:r w:rsidRPr="00C60640">
              <w:rPr>
                <w:bCs/>
                <w:iCs/>
                <w:sz w:val="20"/>
                <w:szCs w:val="20"/>
              </w:rPr>
              <w:t xml:space="preserve"> following:</w:t>
            </w:r>
          </w:p>
          <w:p w14:paraId="087D83BF" w14:textId="77777777" w:rsidR="00225B7D" w:rsidRDefault="00225B7D" w:rsidP="00477A85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5233FBAF" w14:textId="77777777" w:rsidR="00225B7D" w:rsidRPr="00C60640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C60640">
              <w:rPr>
                <w:bCs/>
                <w:iCs/>
                <w:sz w:val="20"/>
                <w:szCs w:val="20"/>
              </w:rPr>
              <w:t xml:space="preserve">Air emissions and dust management; </w:t>
            </w:r>
          </w:p>
          <w:p w14:paraId="2F4B4334" w14:textId="077DA6FA" w:rsidR="00225B7D" w:rsidRPr="00C60640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>Waste management (covering hazardous and non-hazardous waste streams);</w:t>
            </w:r>
          </w:p>
          <w:p w14:paraId="755DDCC8" w14:textId="77777777" w:rsidR="00225B7D" w:rsidRPr="00C60640" w:rsidRDefault="00225B7D" w:rsidP="00626718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>Emissions control plan for the concrete batch plant (air and liquid effluents)</w:t>
            </w:r>
          </w:p>
          <w:p w14:paraId="2CEBDC05" w14:textId="77777777" w:rsidR="00225B7D" w:rsidRPr="00C60640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 xml:space="preserve">Oil and chemical spill </w:t>
            </w:r>
            <w:r w:rsidR="00A740B4" w:rsidRPr="00C60640">
              <w:rPr>
                <w:bCs/>
                <w:iCs/>
                <w:sz w:val="20"/>
                <w:szCs w:val="20"/>
              </w:rPr>
              <w:t xml:space="preserve">management;  </w:t>
            </w:r>
          </w:p>
          <w:p w14:paraId="6F646CED" w14:textId="77777777" w:rsidR="00225B7D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>Traffic and transport management;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AB3BA61" w14:textId="703B30D4" w:rsidR="00225B7D" w:rsidRPr="00C60640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F22781">
              <w:rPr>
                <w:bCs/>
                <w:iCs/>
                <w:sz w:val="20"/>
                <w:szCs w:val="20"/>
              </w:rPr>
              <w:t xml:space="preserve">Occupational </w:t>
            </w:r>
            <w:r w:rsidR="001C6089">
              <w:rPr>
                <w:bCs/>
                <w:iCs/>
                <w:sz w:val="20"/>
                <w:szCs w:val="20"/>
              </w:rPr>
              <w:t>h</w:t>
            </w:r>
            <w:r w:rsidR="001C6089" w:rsidRPr="00F22781">
              <w:rPr>
                <w:bCs/>
                <w:iCs/>
                <w:sz w:val="20"/>
                <w:szCs w:val="20"/>
              </w:rPr>
              <w:t xml:space="preserve">ealth </w:t>
            </w:r>
            <w:r w:rsidRPr="00F22781">
              <w:rPr>
                <w:bCs/>
                <w:iCs/>
                <w:sz w:val="20"/>
                <w:szCs w:val="20"/>
              </w:rPr>
              <w:t xml:space="preserve">and </w:t>
            </w:r>
            <w:r w:rsidR="001C6089">
              <w:rPr>
                <w:bCs/>
                <w:iCs/>
                <w:sz w:val="20"/>
                <w:szCs w:val="20"/>
              </w:rPr>
              <w:t>s</w:t>
            </w:r>
            <w:r w:rsidR="001C6089" w:rsidRPr="00F22781">
              <w:rPr>
                <w:bCs/>
                <w:iCs/>
                <w:sz w:val="20"/>
                <w:szCs w:val="20"/>
              </w:rPr>
              <w:t xml:space="preserve">afety </w:t>
            </w:r>
            <w:r w:rsidRPr="00F22781">
              <w:rPr>
                <w:bCs/>
                <w:iCs/>
                <w:sz w:val="20"/>
                <w:szCs w:val="20"/>
              </w:rPr>
              <w:t>management</w:t>
            </w:r>
            <w:r w:rsidRPr="00C60640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5C0205DC" w14:textId="77777777" w:rsidR="00225B7D" w:rsidRPr="00C60640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 xml:space="preserve">Emergency preparedness and response; </w:t>
            </w:r>
          </w:p>
          <w:p w14:paraId="54A7B50B" w14:textId="77777777" w:rsidR="00225B7D" w:rsidRPr="00C60640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 xml:space="preserve">Community health and safety management;  </w:t>
            </w:r>
          </w:p>
          <w:p w14:paraId="40D944F5" w14:textId="77777777" w:rsidR="00225B7D" w:rsidRPr="00C60640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 xml:space="preserve">Security management; </w:t>
            </w:r>
          </w:p>
          <w:p w14:paraId="6A373C4D" w14:textId="77777777" w:rsidR="00225B7D" w:rsidRPr="00C60640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 xml:space="preserve">Grievance procedure (external for affected parties); </w:t>
            </w:r>
          </w:p>
          <w:p w14:paraId="641132E2" w14:textId="77777777" w:rsidR="00225B7D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 xml:space="preserve">Noise and vibration management; </w:t>
            </w:r>
          </w:p>
          <w:p w14:paraId="02D9EAF0" w14:textId="77777777" w:rsidR="00225B7D" w:rsidRPr="00C60640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</w:t>
            </w:r>
            <w:r w:rsidRPr="00AC0495">
              <w:rPr>
                <w:bCs/>
                <w:iCs/>
                <w:sz w:val="20"/>
                <w:szCs w:val="20"/>
              </w:rPr>
              <w:t>hance find procedure</w:t>
            </w:r>
          </w:p>
          <w:p w14:paraId="7D169CB3" w14:textId="77777777" w:rsidR="00225B7D" w:rsidRDefault="00225B7D" w:rsidP="00B32C2F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C60640">
              <w:rPr>
                <w:bCs/>
                <w:iCs/>
                <w:sz w:val="20"/>
                <w:szCs w:val="20"/>
              </w:rPr>
              <w:t xml:space="preserve">Environmental monitoring </w:t>
            </w:r>
          </w:p>
          <w:p w14:paraId="678682FA" w14:textId="77777777" w:rsidR="00225B7D" w:rsidRPr="00C60640" w:rsidRDefault="00225B7D" w:rsidP="00F22781">
            <w:pPr>
              <w:jc w:val="both"/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</w:tcPr>
          <w:p w14:paraId="2E5B9CA5" w14:textId="77777777" w:rsidR="00225B7D" w:rsidRDefault="00225B7D" w:rsidP="00445E90">
            <w:pPr>
              <w:rPr>
                <w:bCs/>
                <w:iCs/>
                <w:sz w:val="20"/>
                <w:szCs w:val="20"/>
              </w:rPr>
            </w:pPr>
            <w:r w:rsidRPr="00445E90">
              <w:rPr>
                <w:bCs/>
                <w:iCs/>
                <w:sz w:val="20"/>
                <w:szCs w:val="20"/>
              </w:rPr>
              <w:t xml:space="preserve">Submission of </w:t>
            </w:r>
            <w:r>
              <w:rPr>
                <w:bCs/>
                <w:iCs/>
                <w:sz w:val="20"/>
                <w:szCs w:val="20"/>
              </w:rPr>
              <w:t xml:space="preserve">CEHSMP with all listed EHS management plans approved by the EPC contractor </w:t>
            </w:r>
            <w:r w:rsidRPr="00445E90">
              <w:rPr>
                <w:bCs/>
                <w:iCs/>
                <w:sz w:val="20"/>
                <w:szCs w:val="20"/>
              </w:rPr>
              <w:t>to IFC</w:t>
            </w:r>
            <w:r>
              <w:rPr>
                <w:bCs/>
                <w:iCs/>
                <w:sz w:val="20"/>
                <w:szCs w:val="20"/>
              </w:rPr>
              <w:t xml:space="preserve"> for review and comments</w:t>
            </w:r>
            <w:r w:rsidR="008B7865">
              <w:rPr>
                <w:bCs/>
                <w:iCs/>
                <w:sz w:val="20"/>
                <w:szCs w:val="20"/>
              </w:rPr>
              <w:t>.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</w:p>
          <w:p w14:paraId="0B952808" w14:textId="77777777" w:rsidR="00225B7D" w:rsidRDefault="00225B7D" w:rsidP="00525680">
            <w:pPr>
              <w:rPr>
                <w:bCs/>
                <w:iCs/>
                <w:sz w:val="20"/>
                <w:szCs w:val="20"/>
              </w:rPr>
            </w:pPr>
          </w:p>
          <w:p w14:paraId="742D7652" w14:textId="77777777" w:rsidR="00225B7D" w:rsidRDefault="00225B7D" w:rsidP="00525126">
            <w:pPr>
              <w:rPr>
                <w:bCs/>
                <w:iCs/>
                <w:sz w:val="20"/>
                <w:szCs w:val="20"/>
              </w:rPr>
            </w:pPr>
          </w:p>
          <w:p w14:paraId="0F212991" w14:textId="77777777" w:rsidR="00225B7D" w:rsidRPr="004755BE" w:rsidRDefault="00225B7D" w:rsidP="00BE48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06446A3C" w14:textId="77777777" w:rsidR="00225B7D" w:rsidRDefault="00225B7D" w:rsidP="00317813">
            <w:pPr>
              <w:rPr>
                <w:bCs/>
                <w:iCs/>
                <w:sz w:val="20"/>
                <w:szCs w:val="20"/>
              </w:rPr>
            </w:pPr>
            <w:r w:rsidRPr="00B32C2F">
              <w:rPr>
                <w:bCs/>
                <w:iCs/>
                <w:sz w:val="20"/>
                <w:szCs w:val="20"/>
              </w:rPr>
              <w:t xml:space="preserve">30 days prior </w:t>
            </w:r>
            <w:r>
              <w:rPr>
                <w:bCs/>
                <w:iCs/>
                <w:sz w:val="20"/>
                <w:szCs w:val="20"/>
              </w:rPr>
              <w:t xml:space="preserve">/construction commencement </w:t>
            </w:r>
          </w:p>
        </w:tc>
        <w:bookmarkStart w:id="0" w:name="_GoBack"/>
        <w:bookmarkEnd w:id="0"/>
      </w:tr>
      <w:tr w:rsidR="00225B7D" w:rsidRPr="00BE24CC" w14:paraId="4A0AE272" w14:textId="77777777" w:rsidTr="00146E92">
        <w:tc>
          <w:tcPr>
            <w:tcW w:w="895" w:type="dxa"/>
          </w:tcPr>
          <w:p w14:paraId="2CAE07D2" w14:textId="77777777" w:rsidR="00225B7D" w:rsidRPr="00BE24CC" w:rsidRDefault="00225B7D" w:rsidP="003B2C89">
            <w:pPr>
              <w:contextualSpacing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6480" w:type="dxa"/>
          </w:tcPr>
          <w:p w14:paraId="2B6ED1D1" w14:textId="77777777" w:rsidR="00225B7D" w:rsidRPr="00AC0495" w:rsidRDefault="00225B7D" w:rsidP="0084140A">
            <w:pPr>
              <w:jc w:val="both"/>
              <w:rPr>
                <w:bCs/>
                <w:iCs/>
                <w:sz w:val="20"/>
                <w:szCs w:val="20"/>
              </w:rPr>
            </w:pPr>
            <w:r w:rsidRPr="00AC0495">
              <w:rPr>
                <w:bCs/>
                <w:iCs/>
                <w:sz w:val="20"/>
                <w:szCs w:val="20"/>
              </w:rPr>
              <w:t xml:space="preserve">In accordance with the stakeholder engagement plan (SEP) the Borrower </w:t>
            </w:r>
            <w:r w:rsidR="00995C6D">
              <w:rPr>
                <w:bCs/>
                <w:iCs/>
                <w:sz w:val="20"/>
                <w:szCs w:val="20"/>
              </w:rPr>
              <w:t xml:space="preserve">will </w:t>
            </w:r>
            <w:r w:rsidR="00995C6D" w:rsidRPr="00AC0495">
              <w:rPr>
                <w:bCs/>
                <w:iCs/>
                <w:sz w:val="20"/>
                <w:szCs w:val="20"/>
              </w:rPr>
              <w:t>provide</w:t>
            </w:r>
            <w:r w:rsidRPr="00AC0495">
              <w:rPr>
                <w:bCs/>
                <w:iCs/>
                <w:sz w:val="20"/>
                <w:szCs w:val="20"/>
              </w:rPr>
              <w:t xml:space="preserve"> early notice to villages and residents prior to the Project construction phase commence</w:t>
            </w:r>
            <w:r>
              <w:rPr>
                <w:bCs/>
                <w:iCs/>
                <w:sz w:val="20"/>
                <w:szCs w:val="20"/>
              </w:rPr>
              <w:t>, including details on mitigation and management measures for project activities in the area</w:t>
            </w:r>
            <w:r w:rsidRPr="00AC0495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(</w:t>
            </w:r>
            <w:r w:rsidRPr="00AC0495">
              <w:rPr>
                <w:bCs/>
                <w:iCs/>
                <w:sz w:val="20"/>
                <w:szCs w:val="20"/>
              </w:rPr>
              <w:t>traffic</w:t>
            </w:r>
            <w:r>
              <w:rPr>
                <w:bCs/>
                <w:iCs/>
                <w:sz w:val="20"/>
                <w:szCs w:val="20"/>
              </w:rPr>
              <w:t xml:space="preserve"> management, route diversions, noise/vibration management, etc.)</w:t>
            </w:r>
            <w:r w:rsidRPr="00AC0495">
              <w:rPr>
                <w:bCs/>
                <w:iCs/>
                <w:sz w:val="20"/>
                <w:szCs w:val="20"/>
              </w:rPr>
              <w:t xml:space="preserve">. </w:t>
            </w:r>
          </w:p>
          <w:p w14:paraId="55740030" w14:textId="77777777" w:rsidR="00225B7D" w:rsidRDefault="00225B7D" w:rsidP="0084140A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5E38134B" w14:textId="77777777" w:rsidR="00225B7D" w:rsidRPr="00AC0495" w:rsidRDefault="00225B7D" w:rsidP="0084140A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284906A1" w14:textId="77777777" w:rsidR="00225B7D" w:rsidRPr="0043132F" w:rsidRDefault="00225B7D" w:rsidP="0043132F">
            <w:pPr>
              <w:rPr>
                <w:bCs/>
                <w:iCs/>
                <w:sz w:val="20"/>
                <w:szCs w:val="20"/>
              </w:rPr>
            </w:pPr>
            <w:r w:rsidRPr="0043132F">
              <w:rPr>
                <w:bCs/>
                <w:iCs/>
                <w:sz w:val="20"/>
                <w:szCs w:val="20"/>
              </w:rPr>
              <w:t>Submit report to IFC on engagement with the affected stakeholders</w:t>
            </w:r>
            <w:r w:rsidR="008B7865">
              <w:rPr>
                <w:bCs/>
                <w:iCs/>
                <w:sz w:val="20"/>
                <w:szCs w:val="20"/>
              </w:rPr>
              <w:t>.</w:t>
            </w:r>
            <w:r w:rsidRPr="0043132F">
              <w:rPr>
                <w:bCs/>
                <w:iCs/>
                <w:sz w:val="20"/>
                <w:szCs w:val="20"/>
              </w:rPr>
              <w:t xml:space="preserve">   </w:t>
            </w:r>
          </w:p>
          <w:p w14:paraId="149014ED" w14:textId="77777777" w:rsidR="00225B7D" w:rsidRPr="00AC0495" w:rsidRDefault="00225B7D" w:rsidP="00944EB5">
            <w:pPr>
              <w:rPr>
                <w:bCs/>
                <w:iCs/>
                <w:sz w:val="20"/>
                <w:szCs w:val="20"/>
              </w:rPr>
            </w:pPr>
          </w:p>
          <w:p w14:paraId="767F71AE" w14:textId="77777777" w:rsidR="00225B7D" w:rsidRDefault="00225B7D" w:rsidP="0043132F">
            <w:pPr>
              <w:rPr>
                <w:bCs/>
                <w:iCs/>
                <w:sz w:val="20"/>
                <w:szCs w:val="20"/>
              </w:rPr>
            </w:pPr>
          </w:p>
          <w:p w14:paraId="12391926" w14:textId="77777777" w:rsidR="00225B7D" w:rsidRPr="00AC0495" w:rsidRDefault="00225B7D" w:rsidP="00944EB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8680E0" w14:textId="77777777" w:rsidR="00225B7D" w:rsidRPr="00AC0495" w:rsidRDefault="00225B7D" w:rsidP="003C1502">
            <w:pPr>
              <w:rPr>
                <w:bCs/>
                <w:iCs/>
                <w:sz w:val="20"/>
                <w:szCs w:val="20"/>
              </w:rPr>
            </w:pPr>
            <w:r w:rsidRPr="00AC0495">
              <w:rPr>
                <w:bCs/>
                <w:iCs/>
                <w:sz w:val="20"/>
                <w:szCs w:val="20"/>
              </w:rPr>
              <w:t xml:space="preserve">30 days prior to construction work commence </w:t>
            </w:r>
          </w:p>
        </w:tc>
      </w:tr>
      <w:tr w:rsidR="00225B7D" w:rsidRPr="00BE24CC" w14:paraId="2DD986DF" w14:textId="77777777" w:rsidTr="00146E92">
        <w:tc>
          <w:tcPr>
            <w:tcW w:w="895" w:type="dxa"/>
          </w:tcPr>
          <w:p w14:paraId="1E9E1DC9" w14:textId="77777777" w:rsidR="00225B7D" w:rsidRPr="00BE24CC" w:rsidRDefault="00225B7D" w:rsidP="00A90831">
            <w:pPr>
              <w:contextualSpacing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4.</w:t>
            </w:r>
          </w:p>
        </w:tc>
        <w:tc>
          <w:tcPr>
            <w:tcW w:w="6480" w:type="dxa"/>
          </w:tcPr>
          <w:p w14:paraId="32E970DA" w14:textId="3CD0A183" w:rsidR="00225B7D" w:rsidRPr="00AC0495" w:rsidRDefault="00225B7D" w:rsidP="00626718">
            <w:pPr>
              <w:jc w:val="both"/>
              <w:rPr>
                <w:bCs/>
                <w:iCs/>
                <w:sz w:val="20"/>
                <w:szCs w:val="20"/>
              </w:rPr>
            </w:pPr>
            <w:r w:rsidRPr="00AC0495">
              <w:rPr>
                <w:bCs/>
                <w:iCs/>
                <w:sz w:val="20"/>
                <w:szCs w:val="20"/>
              </w:rPr>
              <w:t xml:space="preserve">The Borrower </w:t>
            </w:r>
            <w:r w:rsidRPr="00BF378E">
              <w:rPr>
                <w:bCs/>
                <w:iCs/>
                <w:sz w:val="20"/>
                <w:szCs w:val="20"/>
              </w:rPr>
              <w:t xml:space="preserve">shall </w:t>
            </w:r>
            <w:r w:rsidR="00BF378E">
              <w:rPr>
                <w:bCs/>
                <w:iCs/>
                <w:sz w:val="20"/>
                <w:szCs w:val="20"/>
              </w:rPr>
              <w:t>require the</w:t>
            </w:r>
            <w:r w:rsidR="00BF378E" w:rsidRPr="00AC0495">
              <w:rPr>
                <w:bCs/>
                <w:iCs/>
                <w:sz w:val="20"/>
                <w:szCs w:val="20"/>
              </w:rPr>
              <w:t xml:space="preserve"> </w:t>
            </w:r>
            <w:r w:rsidRPr="00AC0495">
              <w:rPr>
                <w:bCs/>
                <w:iCs/>
                <w:sz w:val="20"/>
                <w:szCs w:val="20"/>
              </w:rPr>
              <w:t xml:space="preserve">EPC contractor to develop and implement a grievance procedure for all workers, including </w:t>
            </w:r>
            <w:r>
              <w:rPr>
                <w:bCs/>
                <w:iCs/>
                <w:sz w:val="20"/>
                <w:szCs w:val="20"/>
              </w:rPr>
              <w:t>sub</w:t>
            </w:r>
            <w:r w:rsidRPr="00AC0495">
              <w:rPr>
                <w:bCs/>
                <w:iCs/>
                <w:sz w:val="20"/>
                <w:szCs w:val="20"/>
              </w:rPr>
              <w:t xml:space="preserve">contractor employees. </w:t>
            </w:r>
            <w:r>
              <w:rPr>
                <w:bCs/>
                <w:iCs/>
                <w:sz w:val="20"/>
                <w:szCs w:val="20"/>
              </w:rPr>
              <w:t xml:space="preserve">The procedure will be included </w:t>
            </w:r>
            <w:r w:rsidRPr="00AC0495">
              <w:rPr>
                <w:bCs/>
                <w:iCs/>
                <w:sz w:val="20"/>
                <w:szCs w:val="20"/>
              </w:rPr>
              <w:t xml:space="preserve">in </w:t>
            </w:r>
            <w:r>
              <w:rPr>
                <w:bCs/>
                <w:iCs/>
                <w:sz w:val="20"/>
                <w:szCs w:val="20"/>
              </w:rPr>
              <w:t>the contractor</w:t>
            </w:r>
            <w:r w:rsidRPr="00AC0495">
              <w:rPr>
                <w:bCs/>
                <w:iCs/>
                <w:sz w:val="20"/>
                <w:szCs w:val="20"/>
              </w:rPr>
              <w:t xml:space="preserve"> HR policy, </w:t>
            </w:r>
            <w:r>
              <w:rPr>
                <w:bCs/>
                <w:iCs/>
                <w:sz w:val="20"/>
                <w:szCs w:val="20"/>
              </w:rPr>
              <w:t xml:space="preserve">and the Borrower and contractor will </w:t>
            </w:r>
            <w:r w:rsidRPr="00AC0495">
              <w:rPr>
                <w:bCs/>
                <w:iCs/>
                <w:sz w:val="20"/>
                <w:szCs w:val="20"/>
              </w:rPr>
              <w:t xml:space="preserve">ensure </w:t>
            </w:r>
            <w:r>
              <w:rPr>
                <w:bCs/>
                <w:iCs/>
                <w:sz w:val="20"/>
                <w:szCs w:val="20"/>
              </w:rPr>
              <w:t xml:space="preserve">that </w:t>
            </w:r>
            <w:r w:rsidRPr="00AC0495">
              <w:rPr>
                <w:bCs/>
                <w:iCs/>
                <w:sz w:val="20"/>
                <w:szCs w:val="20"/>
              </w:rPr>
              <w:t xml:space="preserve">all workers </w:t>
            </w:r>
            <w:r>
              <w:rPr>
                <w:bCs/>
                <w:iCs/>
                <w:sz w:val="20"/>
                <w:szCs w:val="20"/>
              </w:rPr>
              <w:t>are aware of the mechanism</w:t>
            </w:r>
            <w:r w:rsidRPr="00AC0495">
              <w:rPr>
                <w:bCs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3420" w:type="dxa"/>
          </w:tcPr>
          <w:p w14:paraId="409B23F3" w14:textId="77777777" w:rsidR="00225B7D" w:rsidRPr="00AC0495" w:rsidRDefault="00225B7D" w:rsidP="00445E90">
            <w:pPr>
              <w:rPr>
                <w:bCs/>
                <w:iCs/>
                <w:sz w:val="20"/>
                <w:szCs w:val="20"/>
              </w:rPr>
            </w:pPr>
            <w:r w:rsidRPr="00AC0495">
              <w:rPr>
                <w:bCs/>
                <w:iCs/>
                <w:sz w:val="20"/>
                <w:szCs w:val="20"/>
              </w:rPr>
              <w:t>Adoption and implementation of employee grievance procedure</w:t>
            </w:r>
            <w:r w:rsidR="008B7865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14:paraId="1ABF096E" w14:textId="77777777" w:rsidR="00225B7D" w:rsidRPr="00AC0495" w:rsidRDefault="00225B7D" w:rsidP="003B2C89">
            <w:pPr>
              <w:rPr>
                <w:bCs/>
                <w:iCs/>
                <w:sz w:val="20"/>
                <w:szCs w:val="20"/>
              </w:rPr>
            </w:pPr>
            <w:r w:rsidRPr="00AC0495">
              <w:rPr>
                <w:bCs/>
                <w:iCs/>
                <w:sz w:val="20"/>
                <w:szCs w:val="20"/>
              </w:rPr>
              <w:t xml:space="preserve">30 days prior to construction works commence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225B7D" w:rsidRPr="00BE24CC" w14:paraId="59D26FA9" w14:textId="77777777" w:rsidTr="00146E92">
        <w:trPr>
          <w:trHeight w:val="800"/>
        </w:trPr>
        <w:tc>
          <w:tcPr>
            <w:tcW w:w="895" w:type="dxa"/>
          </w:tcPr>
          <w:p w14:paraId="0D17DE8C" w14:textId="77777777" w:rsidR="00225B7D" w:rsidRPr="00BE24CC" w:rsidRDefault="00225B7D" w:rsidP="00A90831">
            <w:pPr>
              <w:contextualSpacing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5. </w:t>
            </w:r>
          </w:p>
        </w:tc>
        <w:tc>
          <w:tcPr>
            <w:tcW w:w="6480" w:type="dxa"/>
          </w:tcPr>
          <w:p w14:paraId="67C169EA" w14:textId="597EA896" w:rsidR="00225B7D" w:rsidRPr="00B32C2F" w:rsidRDefault="00225B7D" w:rsidP="00B32C2F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(i) The Borrower </w:t>
            </w:r>
            <w:r w:rsidR="00995C6D">
              <w:rPr>
                <w:bCs/>
                <w:iCs/>
                <w:sz w:val="20"/>
                <w:szCs w:val="20"/>
              </w:rPr>
              <w:t xml:space="preserve">will </w:t>
            </w:r>
            <w:r w:rsidR="00995C6D" w:rsidRPr="00B32C2F">
              <w:rPr>
                <w:bCs/>
                <w:iCs/>
                <w:sz w:val="20"/>
                <w:szCs w:val="20"/>
              </w:rPr>
              <w:t>develop</w:t>
            </w:r>
            <w:r w:rsidRPr="00445E90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an Operational EHS </w:t>
            </w:r>
            <w:r w:rsidRPr="00B32C2F">
              <w:rPr>
                <w:bCs/>
                <w:iCs/>
                <w:sz w:val="20"/>
                <w:szCs w:val="20"/>
              </w:rPr>
              <w:t>management plan</w:t>
            </w:r>
            <w:r>
              <w:rPr>
                <w:bCs/>
                <w:iCs/>
                <w:sz w:val="20"/>
                <w:szCs w:val="20"/>
              </w:rPr>
              <w:t xml:space="preserve"> (OEHSMP)</w:t>
            </w:r>
            <w:r w:rsidRPr="00B32C2F">
              <w:rPr>
                <w:bCs/>
                <w:iCs/>
                <w:sz w:val="20"/>
                <w:szCs w:val="20"/>
              </w:rPr>
              <w:t xml:space="preserve"> for the project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BF378E">
              <w:rPr>
                <w:bCs/>
                <w:iCs/>
                <w:sz w:val="20"/>
                <w:szCs w:val="20"/>
              </w:rPr>
              <w:t>including</w:t>
            </w:r>
            <w:r w:rsidR="00995C6D">
              <w:rPr>
                <w:bCs/>
                <w:iCs/>
                <w:sz w:val="20"/>
                <w:szCs w:val="20"/>
              </w:rPr>
              <w:t xml:space="preserve"> </w:t>
            </w:r>
            <w:r w:rsidR="00995C6D" w:rsidRPr="00B32C2F">
              <w:rPr>
                <w:bCs/>
                <w:iCs/>
                <w:sz w:val="20"/>
                <w:szCs w:val="20"/>
              </w:rPr>
              <w:t>the</w:t>
            </w:r>
            <w:r w:rsidRPr="00B32C2F">
              <w:rPr>
                <w:bCs/>
                <w:iCs/>
                <w:sz w:val="20"/>
                <w:szCs w:val="20"/>
              </w:rPr>
              <w:t xml:space="preserve"> </w:t>
            </w:r>
            <w:r w:rsidR="00995C6D" w:rsidRPr="00B32C2F">
              <w:rPr>
                <w:bCs/>
                <w:iCs/>
                <w:sz w:val="20"/>
                <w:szCs w:val="20"/>
              </w:rPr>
              <w:t>following:</w:t>
            </w:r>
          </w:p>
          <w:p w14:paraId="020913AC" w14:textId="77777777" w:rsidR="00225B7D" w:rsidRPr="00B32C2F" w:rsidRDefault="00225B7D" w:rsidP="00050CF7">
            <w:pPr>
              <w:ind w:left="1800"/>
              <w:jc w:val="both"/>
              <w:rPr>
                <w:bCs/>
                <w:iCs/>
                <w:sz w:val="20"/>
                <w:szCs w:val="20"/>
              </w:rPr>
            </w:pPr>
            <w:r w:rsidRPr="00B32C2F">
              <w:rPr>
                <w:bCs/>
                <w:iCs/>
                <w:sz w:val="20"/>
                <w:szCs w:val="20"/>
              </w:rPr>
              <w:t xml:space="preserve">  </w:t>
            </w:r>
          </w:p>
          <w:p w14:paraId="314462E9" w14:textId="77777777" w:rsidR="00225B7D" w:rsidRPr="00B32C2F" w:rsidRDefault="00225B7D" w:rsidP="00B32C2F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32C2F">
              <w:rPr>
                <w:bCs/>
                <w:iCs/>
                <w:sz w:val="20"/>
                <w:szCs w:val="20"/>
              </w:rPr>
              <w:t xml:space="preserve">Emergency preparedness and response plan; </w:t>
            </w:r>
          </w:p>
          <w:p w14:paraId="27934BAE" w14:textId="77777777" w:rsidR="00225B7D" w:rsidRPr="00B32C2F" w:rsidRDefault="00225B7D" w:rsidP="00B32C2F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32C2F">
              <w:rPr>
                <w:bCs/>
                <w:iCs/>
                <w:sz w:val="20"/>
                <w:szCs w:val="20"/>
              </w:rPr>
              <w:t xml:space="preserve">Community health and safety management plan;  </w:t>
            </w:r>
          </w:p>
          <w:p w14:paraId="58CB242E" w14:textId="77777777" w:rsidR="00225B7D" w:rsidRPr="00B32C2F" w:rsidRDefault="00225B7D" w:rsidP="00B32C2F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32C2F">
              <w:rPr>
                <w:bCs/>
                <w:iCs/>
                <w:sz w:val="20"/>
                <w:szCs w:val="20"/>
              </w:rPr>
              <w:t xml:space="preserve">Grievance procedure (external for affected parties); </w:t>
            </w:r>
          </w:p>
          <w:p w14:paraId="0437EDFA" w14:textId="77777777" w:rsidR="00225B7D" w:rsidRPr="00B32C2F" w:rsidRDefault="00225B7D" w:rsidP="00B32C2F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B32C2F">
              <w:rPr>
                <w:bCs/>
                <w:iCs/>
                <w:sz w:val="20"/>
                <w:szCs w:val="20"/>
              </w:rPr>
              <w:t>Noise and vibration management plan</w:t>
            </w:r>
            <w:r w:rsidR="00A740B4">
              <w:rPr>
                <w:bCs/>
                <w:iCs/>
                <w:sz w:val="20"/>
                <w:szCs w:val="20"/>
              </w:rPr>
              <w:t>.</w:t>
            </w:r>
            <w:r w:rsidRPr="00B32C2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0B14D8F" w14:textId="77777777" w:rsidR="00225B7D" w:rsidRDefault="00225B7D" w:rsidP="00FC1320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5CF95A90" w14:textId="77777777" w:rsidR="00A740B4" w:rsidRDefault="00A740B4" w:rsidP="00FC1320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65142AA4" w14:textId="7E310486" w:rsidR="00225B7D" w:rsidRDefault="00225B7D" w:rsidP="00FC1320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(ii) </w:t>
            </w:r>
            <w:r w:rsidRPr="00FC1320">
              <w:rPr>
                <w:bCs/>
                <w:iCs/>
                <w:sz w:val="20"/>
                <w:szCs w:val="20"/>
              </w:rPr>
              <w:t xml:space="preserve">The Borrower </w:t>
            </w:r>
            <w:r w:rsidR="00995C6D">
              <w:rPr>
                <w:bCs/>
                <w:iCs/>
                <w:sz w:val="20"/>
                <w:szCs w:val="20"/>
              </w:rPr>
              <w:t xml:space="preserve">will </w:t>
            </w:r>
            <w:r w:rsidR="00995C6D" w:rsidRPr="00FC1320">
              <w:rPr>
                <w:bCs/>
                <w:iCs/>
                <w:sz w:val="20"/>
                <w:szCs w:val="20"/>
              </w:rPr>
              <w:t>engage</w:t>
            </w:r>
            <w:r w:rsidRPr="00FC1320">
              <w:rPr>
                <w:bCs/>
                <w:iCs/>
                <w:sz w:val="20"/>
                <w:szCs w:val="20"/>
              </w:rPr>
              <w:t xml:space="preserve"> </w:t>
            </w:r>
            <w:r w:rsidR="00BF378E">
              <w:rPr>
                <w:bCs/>
                <w:iCs/>
                <w:sz w:val="20"/>
                <w:szCs w:val="20"/>
              </w:rPr>
              <w:t>a consultant</w:t>
            </w:r>
            <w:r w:rsidRPr="00FC1320">
              <w:rPr>
                <w:bCs/>
                <w:iCs/>
                <w:sz w:val="20"/>
                <w:szCs w:val="20"/>
              </w:rPr>
              <w:t xml:space="preserve"> to assess </w:t>
            </w:r>
            <w:r w:rsidR="00BF378E">
              <w:rPr>
                <w:bCs/>
                <w:iCs/>
                <w:sz w:val="20"/>
                <w:szCs w:val="20"/>
              </w:rPr>
              <w:t xml:space="preserve">the </w:t>
            </w:r>
            <w:r w:rsidRPr="00FC1320">
              <w:rPr>
                <w:bCs/>
                <w:iCs/>
                <w:sz w:val="20"/>
                <w:szCs w:val="20"/>
              </w:rPr>
              <w:t>effectiveness of the noise barriers that were constructed along the southwest bypass</w:t>
            </w:r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51B4B7BC" w14:textId="1D9E4ED1" w:rsidR="00225B7D" w:rsidRPr="0043132F" w:rsidRDefault="00225B7D" w:rsidP="0043132F">
            <w:pPr>
              <w:rPr>
                <w:bCs/>
                <w:iCs/>
                <w:sz w:val="20"/>
                <w:szCs w:val="20"/>
              </w:rPr>
            </w:pPr>
            <w:r w:rsidRPr="0043132F">
              <w:rPr>
                <w:bCs/>
                <w:iCs/>
                <w:sz w:val="20"/>
                <w:szCs w:val="20"/>
              </w:rPr>
              <w:t>Submission of OES</w:t>
            </w:r>
            <w:r>
              <w:rPr>
                <w:bCs/>
                <w:iCs/>
                <w:sz w:val="20"/>
                <w:szCs w:val="20"/>
              </w:rPr>
              <w:t>H</w:t>
            </w:r>
            <w:r w:rsidRPr="0043132F">
              <w:rPr>
                <w:bCs/>
                <w:iCs/>
                <w:sz w:val="20"/>
                <w:szCs w:val="20"/>
              </w:rPr>
              <w:t xml:space="preserve">MP </w:t>
            </w:r>
            <w:r w:rsidR="00BF378E">
              <w:rPr>
                <w:bCs/>
                <w:iCs/>
                <w:sz w:val="20"/>
                <w:szCs w:val="20"/>
              </w:rPr>
              <w:t xml:space="preserve">to IFC for review and comment, including </w:t>
            </w:r>
            <w:r w:rsidRPr="0043132F">
              <w:rPr>
                <w:bCs/>
                <w:iCs/>
                <w:sz w:val="20"/>
                <w:szCs w:val="20"/>
              </w:rPr>
              <w:t xml:space="preserve">all listed E&amp;S management plans approved by the </w:t>
            </w:r>
            <w:r>
              <w:rPr>
                <w:bCs/>
                <w:iCs/>
                <w:sz w:val="20"/>
                <w:szCs w:val="20"/>
              </w:rPr>
              <w:t xml:space="preserve">City of Podgorica </w:t>
            </w:r>
          </w:p>
          <w:p w14:paraId="1CF97F31" w14:textId="77777777" w:rsidR="00225B7D" w:rsidRDefault="00225B7D" w:rsidP="00525126">
            <w:pPr>
              <w:rPr>
                <w:bCs/>
                <w:iCs/>
                <w:sz w:val="20"/>
                <w:szCs w:val="20"/>
              </w:rPr>
            </w:pPr>
          </w:p>
          <w:p w14:paraId="2A9130C0" w14:textId="77777777" w:rsidR="00225B7D" w:rsidRDefault="00225B7D" w:rsidP="0043132F">
            <w:pPr>
              <w:rPr>
                <w:bCs/>
                <w:iCs/>
                <w:sz w:val="20"/>
                <w:szCs w:val="20"/>
              </w:rPr>
            </w:pPr>
          </w:p>
          <w:p w14:paraId="1F080733" w14:textId="77777777" w:rsidR="00225B7D" w:rsidRDefault="00225B7D" w:rsidP="0043132F">
            <w:pPr>
              <w:rPr>
                <w:bCs/>
                <w:iCs/>
                <w:sz w:val="20"/>
                <w:szCs w:val="20"/>
              </w:rPr>
            </w:pPr>
          </w:p>
          <w:p w14:paraId="1208F404" w14:textId="77777777" w:rsidR="00225B7D" w:rsidRDefault="00225B7D" w:rsidP="0043132F">
            <w:pPr>
              <w:rPr>
                <w:bCs/>
                <w:iCs/>
                <w:sz w:val="20"/>
                <w:szCs w:val="20"/>
              </w:rPr>
            </w:pPr>
          </w:p>
          <w:p w14:paraId="7C85F1AD" w14:textId="77777777" w:rsidR="00225B7D" w:rsidRDefault="00225B7D" w:rsidP="0043132F">
            <w:pPr>
              <w:rPr>
                <w:bCs/>
                <w:iCs/>
                <w:sz w:val="20"/>
                <w:szCs w:val="20"/>
              </w:rPr>
            </w:pPr>
          </w:p>
          <w:p w14:paraId="343090A6" w14:textId="5D426969" w:rsidR="00225B7D" w:rsidRDefault="00BF378E" w:rsidP="0043132F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Consultant</w:t>
            </w:r>
            <w:r w:rsidR="00225B7D">
              <w:rPr>
                <w:bCs/>
                <w:iCs/>
                <w:sz w:val="20"/>
                <w:szCs w:val="20"/>
              </w:rPr>
              <w:t xml:space="preserve"> acceptable to IFC. </w:t>
            </w:r>
          </w:p>
          <w:p w14:paraId="462A0247" w14:textId="57D2D7E8" w:rsidR="00225B7D" w:rsidRPr="0043132F" w:rsidRDefault="00225B7D" w:rsidP="0043132F">
            <w:pPr>
              <w:rPr>
                <w:bCs/>
                <w:iCs/>
                <w:sz w:val="20"/>
                <w:szCs w:val="20"/>
              </w:rPr>
            </w:pPr>
            <w:r w:rsidRPr="0043132F">
              <w:rPr>
                <w:bCs/>
                <w:iCs/>
                <w:sz w:val="20"/>
                <w:szCs w:val="20"/>
              </w:rPr>
              <w:t xml:space="preserve">Noise </w:t>
            </w:r>
            <w:r w:rsidR="001C6089">
              <w:rPr>
                <w:bCs/>
                <w:iCs/>
                <w:sz w:val="20"/>
                <w:szCs w:val="20"/>
              </w:rPr>
              <w:t>assessment</w:t>
            </w:r>
            <w:r w:rsidR="001C6089" w:rsidRPr="0043132F">
              <w:rPr>
                <w:bCs/>
                <w:iCs/>
                <w:sz w:val="20"/>
                <w:szCs w:val="20"/>
              </w:rPr>
              <w:t xml:space="preserve"> </w:t>
            </w:r>
            <w:r w:rsidRPr="0043132F">
              <w:rPr>
                <w:bCs/>
                <w:iCs/>
                <w:sz w:val="20"/>
                <w:szCs w:val="20"/>
              </w:rPr>
              <w:t>reports reviewed and accepted by IFC</w:t>
            </w:r>
            <w:r>
              <w:t xml:space="preserve">  </w:t>
            </w:r>
          </w:p>
        </w:tc>
        <w:tc>
          <w:tcPr>
            <w:tcW w:w="2520" w:type="dxa"/>
          </w:tcPr>
          <w:p w14:paraId="54A62CB1" w14:textId="77777777" w:rsidR="00225B7D" w:rsidRPr="00FC1320" w:rsidRDefault="00225B7D" w:rsidP="00FC1320">
            <w:pPr>
              <w:rPr>
                <w:bCs/>
                <w:iCs/>
                <w:sz w:val="20"/>
                <w:szCs w:val="20"/>
              </w:rPr>
            </w:pPr>
            <w:r w:rsidRPr="00FC1320">
              <w:rPr>
                <w:bCs/>
                <w:iCs/>
                <w:sz w:val="20"/>
                <w:szCs w:val="20"/>
              </w:rPr>
              <w:t xml:space="preserve">30 days prior to operational phase commence  </w:t>
            </w:r>
          </w:p>
          <w:p w14:paraId="060D6669" w14:textId="77777777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</w:p>
          <w:p w14:paraId="4B1E7108" w14:textId="77777777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</w:p>
          <w:p w14:paraId="69E32428" w14:textId="77777777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</w:p>
          <w:p w14:paraId="49EF1415" w14:textId="77777777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</w:p>
          <w:p w14:paraId="73E245A3" w14:textId="77777777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</w:p>
          <w:p w14:paraId="4A968084" w14:textId="77777777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</w:p>
          <w:p w14:paraId="0ACD1D00" w14:textId="77777777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</w:p>
          <w:p w14:paraId="79DE42B1" w14:textId="77777777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</w:p>
          <w:p w14:paraId="5EB17B42" w14:textId="4EB1B54C" w:rsidR="00225B7D" w:rsidRPr="00FC1320" w:rsidRDefault="002E37DC" w:rsidP="00FC132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</w:t>
            </w:r>
            <w:r w:rsidRPr="00FC1320">
              <w:rPr>
                <w:bCs/>
                <w:iCs/>
                <w:sz w:val="20"/>
                <w:szCs w:val="20"/>
              </w:rPr>
              <w:t xml:space="preserve"> </w:t>
            </w:r>
            <w:r w:rsidR="00225B7D" w:rsidRPr="00FC1320">
              <w:rPr>
                <w:bCs/>
                <w:iCs/>
                <w:sz w:val="20"/>
                <w:szCs w:val="20"/>
              </w:rPr>
              <w:t>months after south west bypass is opened</w:t>
            </w:r>
          </w:p>
        </w:tc>
      </w:tr>
      <w:tr w:rsidR="00225B7D" w:rsidRPr="00BE24CC" w14:paraId="48EE1462" w14:textId="77777777" w:rsidTr="00146E92">
        <w:trPr>
          <w:trHeight w:val="800"/>
        </w:trPr>
        <w:tc>
          <w:tcPr>
            <w:tcW w:w="895" w:type="dxa"/>
          </w:tcPr>
          <w:p w14:paraId="79129AAE" w14:textId="77777777" w:rsidR="00225B7D" w:rsidRDefault="00225B7D" w:rsidP="00A90831">
            <w:pPr>
              <w:contextualSpacing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6480" w:type="dxa"/>
          </w:tcPr>
          <w:p w14:paraId="59C501D1" w14:textId="77777777" w:rsidR="00225B7D" w:rsidRDefault="00225B7D" w:rsidP="00B32C2F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(i) The Borrower </w:t>
            </w:r>
            <w:r w:rsidR="00995C6D">
              <w:rPr>
                <w:bCs/>
                <w:iCs/>
                <w:sz w:val="20"/>
                <w:szCs w:val="20"/>
              </w:rPr>
              <w:t>will prepare</w:t>
            </w:r>
            <w:r>
              <w:rPr>
                <w:bCs/>
                <w:iCs/>
                <w:sz w:val="20"/>
                <w:szCs w:val="20"/>
              </w:rPr>
              <w:t xml:space="preserve"> the land acquisition management plan in accordance with local legal requirements and PS5</w:t>
            </w:r>
            <w:r w:rsidR="00A740B4">
              <w:rPr>
                <w:bCs/>
                <w:iCs/>
                <w:sz w:val="20"/>
                <w:szCs w:val="20"/>
              </w:rPr>
              <w:t>;</w:t>
            </w:r>
          </w:p>
          <w:p w14:paraId="75E38B76" w14:textId="77777777" w:rsidR="00225B7D" w:rsidRDefault="00225B7D" w:rsidP="009D1674">
            <w:pPr>
              <w:rPr>
                <w:bCs/>
                <w:iCs/>
                <w:sz w:val="20"/>
                <w:szCs w:val="20"/>
              </w:rPr>
            </w:pPr>
          </w:p>
          <w:p w14:paraId="52F86242" w14:textId="77777777" w:rsidR="00146E92" w:rsidRDefault="00146E92" w:rsidP="00FC1320">
            <w:pPr>
              <w:rPr>
                <w:bCs/>
                <w:iCs/>
                <w:sz w:val="20"/>
                <w:szCs w:val="20"/>
              </w:rPr>
            </w:pPr>
          </w:p>
          <w:p w14:paraId="356A1438" w14:textId="79E4A0C3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(ii) </w:t>
            </w:r>
            <w:r w:rsidRPr="009D1674">
              <w:rPr>
                <w:bCs/>
                <w:iCs/>
                <w:sz w:val="20"/>
                <w:szCs w:val="20"/>
              </w:rPr>
              <w:t xml:space="preserve">The </w:t>
            </w:r>
            <w:r>
              <w:rPr>
                <w:bCs/>
                <w:iCs/>
                <w:sz w:val="20"/>
                <w:szCs w:val="20"/>
              </w:rPr>
              <w:t xml:space="preserve">Borrower </w:t>
            </w:r>
            <w:r w:rsidR="00995C6D">
              <w:rPr>
                <w:bCs/>
                <w:iCs/>
                <w:sz w:val="20"/>
                <w:szCs w:val="20"/>
              </w:rPr>
              <w:t>will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9D1674">
              <w:rPr>
                <w:bCs/>
                <w:iCs/>
                <w:sz w:val="20"/>
                <w:szCs w:val="20"/>
              </w:rPr>
              <w:t xml:space="preserve">develop a grievance redress mechanism to receive and </w:t>
            </w:r>
            <w:r>
              <w:rPr>
                <w:bCs/>
                <w:iCs/>
                <w:sz w:val="20"/>
                <w:szCs w:val="20"/>
              </w:rPr>
              <w:t>address</w:t>
            </w:r>
            <w:r w:rsidRPr="009D1674">
              <w:rPr>
                <w:bCs/>
                <w:iCs/>
                <w:sz w:val="20"/>
                <w:szCs w:val="20"/>
              </w:rPr>
              <w:t xml:space="preserve"> the affected</w:t>
            </w:r>
            <w:r>
              <w:rPr>
                <w:bCs/>
                <w:iCs/>
                <w:sz w:val="20"/>
                <w:szCs w:val="20"/>
              </w:rPr>
              <w:t xml:space="preserve"> land owners’ </w:t>
            </w:r>
            <w:r w:rsidRPr="009D1674">
              <w:rPr>
                <w:bCs/>
                <w:iCs/>
                <w:sz w:val="20"/>
                <w:szCs w:val="20"/>
              </w:rPr>
              <w:t>concerns regarding the expropriation plans and process</w:t>
            </w:r>
            <w:r>
              <w:rPr>
                <w:bCs/>
                <w:iCs/>
                <w:sz w:val="20"/>
                <w:szCs w:val="20"/>
              </w:rPr>
              <w:t xml:space="preserve">. </w:t>
            </w:r>
          </w:p>
          <w:p w14:paraId="419686FA" w14:textId="77777777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</w:p>
          <w:p w14:paraId="7DFE15A1" w14:textId="77777777" w:rsidR="00146E92" w:rsidRDefault="00146E92" w:rsidP="00FC1320">
            <w:pPr>
              <w:rPr>
                <w:bCs/>
                <w:iCs/>
                <w:sz w:val="20"/>
                <w:szCs w:val="20"/>
              </w:rPr>
            </w:pPr>
          </w:p>
          <w:p w14:paraId="46C50E78" w14:textId="55B0E2EA" w:rsidR="00225B7D" w:rsidRDefault="00225B7D" w:rsidP="00FC132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(iii) </w:t>
            </w:r>
            <w:r w:rsidRPr="00AC0495">
              <w:rPr>
                <w:bCs/>
                <w:iCs/>
                <w:sz w:val="20"/>
                <w:szCs w:val="20"/>
              </w:rPr>
              <w:t xml:space="preserve">The Borrower </w:t>
            </w:r>
            <w:r w:rsidR="00146E92">
              <w:rPr>
                <w:bCs/>
                <w:iCs/>
                <w:sz w:val="20"/>
                <w:szCs w:val="20"/>
              </w:rPr>
              <w:t>will actively</w:t>
            </w:r>
            <w:r w:rsidR="00261DF7">
              <w:rPr>
                <w:bCs/>
                <w:iCs/>
                <w:sz w:val="20"/>
                <w:szCs w:val="20"/>
              </w:rPr>
              <w:t xml:space="preserve"> </w:t>
            </w:r>
            <w:r w:rsidR="002E37DC">
              <w:rPr>
                <w:bCs/>
                <w:iCs/>
                <w:sz w:val="20"/>
                <w:szCs w:val="20"/>
              </w:rPr>
              <w:t xml:space="preserve">cooperate with IFC </w:t>
            </w:r>
            <w:r>
              <w:rPr>
                <w:bCs/>
                <w:iCs/>
                <w:sz w:val="20"/>
                <w:szCs w:val="20"/>
              </w:rPr>
              <w:t xml:space="preserve">to undertake </w:t>
            </w:r>
            <w:r w:rsidR="002E37DC">
              <w:rPr>
                <w:bCs/>
                <w:iCs/>
                <w:sz w:val="20"/>
                <w:szCs w:val="20"/>
              </w:rPr>
              <w:t xml:space="preserve">a </w:t>
            </w:r>
            <w:r w:rsidR="00D55266">
              <w:rPr>
                <w:bCs/>
                <w:iCs/>
                <w:sz w:val="20"/>
                <w:szCs w:val="20"/>
              </w:rPr>
              <w:t>third-party</w:t>
            </w:r>
            <w:r w:rsidR="002E37DC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review of the land acquisition process against PS5 requirements and report outcomes</w:t>
            </w:r>
            <w:r w:rsidR="00995C6D">
              <w:rPr>
                <w:bCs/>
                <w:iCs/>
                <w:sz w:val="20"/>
                <w:szCs w:val="20"/>
              </w:rPr>
              <w:t>.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="00D43121">
              <w:rPr>
                <w:bCs/>
                <w:iCs/>
                <w:sz w:val="20"/>
                <w:szCs w:val="20"/>
              </w:rPr>
              <w:t xml:space="preserve">The Borrower will implement the agreed corrective measures, as needed. </w:t>
            </w:r>
          </w:p>
        </w:tc>
        <w:tc>
          <w:tcPr>
            <w:tcW w:w="3420" w:type="dxa"/>
          </w:tcPr>
          <w:p w14:paraId="10C8EFC8" w14:textId="77777777" w:rsidR="00225B7D" w:rsidRPr="0043132F" w:rsidRDefault="00225B7D" w:rsidP="0043132F">
            <w:pPr>
              <w:rPr>
                <w:bCs/>
                <w:iCs/>
                <w:sz w:val="20"/>
                <w:szCs w:val="20"/>
              </w:rPr>
            </w:pPr>
            <w:r w:rsidRPr="0043132F">
              <w:rPr>
                <w:bCs/>
                <w:iCs/>
                <w:sz w:val="20"/>
                <w:szCs w:val="20"/>
              </w:rPr>
              <w:t xml:space="preserve">Present the </w:t>
            </w:r>
            <w:r>
              <w:rPr>
                <w:bCs/>
                <w:iCs/>
                <w:sz w:val="20"/>
                <w:szCs w:val="20"/>
              </w:rPr>
              <w:t>l</w:t>
            </w:r>
            <w:r w:rsidRPr="0043132F">
              <w:rPr>
                <w:bCs/>
                <w:iCs/>
                <w:sz w:val="20"/>
                <w:szCs w:val="20"/>
              </w:rPr>
              <w:t xml:space="preserve">and acquisition management plan </w:t>
            </w:r>
            <w:r>
              <w:rPr>
                <w:bCs/>
                <w:iCs/>
                <w:sz w:val="20"/>
                <w:szCs w:val="20"/>
              </w:rPr>
              <w:t xml:space="preserve">to IFC </w:t>
            </w:r>
            <w:r w:rsidRPr="0043132F">
              <w:rPr>
                <w:bCs/>
                <w:iCs/>
                <w:sz w:val="20"/>
                <w:szCs w:val="20"/>
              </w:rPr>
              <w:t xml:space="preserve">for review and comments </w:t>
            </w:r>
          </w:p>
          <w:p w14:paraId="07A38B80" w14:textId="77777777" w:rsidR="00225B7D" w:rsidRDefault="00225B7D" w:rsidP="003B395A">
            <w:pPr>
              <w:ind w:left="346" w:hanging="180"/>
              <w:rPr>
                <w:bCs/>
                <w:iCs/>
                <w:sz w:val="20"/>
                <w:szCs w:val="20"/>
              </w:rPr>
            </w:pPr>
          </w:p>
          <w:p w14:paraId="282B57B0" w14:textId="77777777" w:rsidR="00225B7D" w:rsidRPr="0043132F" w:rsidRDefault="00225B7D" w:rsidP="0043132F">
            <w:pPr>
              <w:rPr>
                <w:bCs/>
                <w:iCs/>
                <w:sz w:val="20"/>
                <w:szCs w:val="20"/>
              </w:rPr>
            </w:pPr>
            <w:r w:rsidRPr="0043132F">
              <w:rPr>
                <w:bCs/>
                <w:iCs/>
                <w:sz w:val="20"/>
                <w:szCs w:val="20"/>
              </w:rPr>
              <w:t>Present the grievance mechanism to IFC for review and comments</w:t>
            </w:r>
            <w:r w:rsidR="008B7865">
              <w:rPr>
                <w:bCs/>
                <w:iCs/>
                <w:sz w:val="20"/>
                <w:szCs w:val="20"/>
              </w:rPr>
              <w:t>.</w:t>
            </w:r>
          </w:p>
          <w:p w14:paraId="21CFB888" w14:textId="77777777" w:rsidR="00225B7D" w:rsidRDefault="00225B7D" w:rsidP="003B395A">
            <w:pPr>
              <w:ind w:left="346" w:hanging="180"/>
              <w:rPr>
                <w:bCs/>
                <w:iCs/>
                <w:sz w:val="20"/>
                <w:szCs w:val="20"/>
              </w:rPr>
            </w:pPr>
          </w:p>
          <w:p w14:paraId="38E6F8B9" w14:textId="77777777" w:rsidR="00225B7D" w:rsidRDefault="00225B7D" w:rsidP="0043132F">
            <w:pPr>
              <w:rPr>
                <w:bCs/>
                <w:iCs/>
                <w:sz w:val="20"/>
                <w:szCs w:val="20"/>
              </w:rPr>
            </w:pPr>
          </w:p>
          <w:p w14:paraId="273E4B67" w14:textId="77777777" w:rsidR="00146E92" w:rsidRDefault="00146E92" w:rsidP="0043132F">
            <w:pPr>
              <w:rPr>
                <w:bCs/>
                <w:iCs/>
                <w:sz w:val="20"/>
                <w:szCs w:val="20"/>
              </w:rPr>
            </w:pPr>
          </w:p>
          <w:p w14:paraId="361ABF0B" w14:textId="40F8E38C" w:rsidR="00225B7D" w:rsidRDefault="00225B7D" w:rsidP="0043132F">
            <w:pPr>
              <w:rPr>
                <w:bCs/>
                <w:iCs/>
                <w:sz w:val="20"/>
                <w:szCs w:val="20"/>
              </w:rPr>
            </w:pPr>
            <w:r w:rsidRPr="0043132F">
              <w:rPr>
                <w:bCs/>
                <w:iCs/>
                <w:sz w:val="20"/>
                <w:szCs w:val="20"/>
              </w:rPr>
              <w:t>Submission of report to IFC for review and comments</w:t>
            </w:r>
            <w:r w:rsidR="008B7865">
              <w:rPr>
                <w:bCs/>
                <w:iCs/>
                <w:sz w:val="20"/>
                <w:szCs w:val="20"/>
              </w:rPr>
              <w:t>.</w:t>
            </w:r>
            <w:r w:rsidRPr="0043132F">
              <w:rPr>
                <w:bCs/>
                <w:iCs/>
                <w:sz w:val="20"/>
                <w:szCs w:val="20"/>
              </w:rPr>
              <w:t xml:space="preserve">  </w:t>
            </w:r>
          </w:p>
          <w:p w14:paraId="4DDE26B5" w14:textId="4BAD31FD" w:rsidR="00D43121" w:rsidRPr="0043132F" w:rsidRDefault="00D43121" w:rsidP="0043132F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Completion audit submitted to IFC</w:t>
            </w:r>
          </w:p>
          <w:p w14:paraId="3B1FEC0D" w14:textId="77777777" w:rsidR="00225B7D" w:rsidRPr="00D132D5" w:rsidRDefault="00225B7D" w:rsidP="00D132D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52AF8D82" w14:textId="69640F09" w:rsidR="00225B7D" w:rsidRDefault="00146E92" w:rsidP="00B32C2F">
            <w:pPr>
              <w:rPr>
                <w:bCs/>
                <w:iCs/>
                <w:sz w:val="20"/>
                <w:szCs w:val="20"/>
              </w:rPr>
            </w:pPr>
            <w:r w:rsidRPr="00146E92">
              <w:rPr>
                <w:bCs/>
                <w:iCs/>
                <w:sz w:val="20"/>
                <w:szCs w:val="20"/>
              </w:rPr>
              <w:t xml:space="preserve">30 days before launching of the tender for EPC  </w:t>
            </w:r>
          </w:p>
          <w:p w14:paraId="33D48573" w14:textId="77777777" w:rsidR="00225B7D" w:rsidRDefault="00225B7D" w:rsidP="00B32C2F">
            <w:pPr>
              <w:rPr>
                <w:bCs/>
                <w:iCs/>
                <w:sz w:val="20"/>
                <w:szCs w:val="20"/>
              </w:rPr>
            </w:pPr>
          </w:p>
          <w:p w14:paraId="7B1062B8" w14:textId="77777777" w:rsidR="00225B7D" w:rsidRDefault="00225B7D" w:rsidP="00B32C2F">
            <w:pPr>
              <w:rPr>
                <w:bCs/>
                <w:iCs/>
                <w:sz w:val="20"/>
                <w:szCs w:val="20"/>
              </w:rPr>
            </w:pPr>
          </w:p>
          <w:p w14:paraId="3EA813CC" w14:textId="1F20F9AD" w:rsidR="00225B7D" w:rsidRDefault="00146E92" w:rsidP="00B32C2F">
            <w:pPr>
              <w:rPr>
                <w:bCs/>
                <w:iCs/>
                <w:sz w:val="20"/>
                <w:szCs w:val="20"/>
              </w:rPr>
            </w:pPr>
            <w:r w:rsidRPr="00146E92">
              <w:rPr>
                <w:bCs/>
                <w:iCs/>
                <w:sz w:val="20"/>
                <w:szCs w:val="20"/>
              </w:rPr>
              <w:t xml:space="preserve">30 days before launching of the tender for EPC  </w:t>
            </w:r>
          </w:p>
          <w:p w14:paraId="510C42C3" w14:textId="77777777" w:rsidR="00225B7D" w:rsidRDefault="00225B7D" w:rsidP="00B32C2F">
            <w:pPr>
              <w:rPr>
                <w:bCs/>
                <w:iCs/>
                <w:sz w:val="20"/>
                <w:szCs w:val="20"/>
              </w:rPr>
            </w:pPr>
          </w:p>
          <w:p w14:paraId="5E6A21E2" w14:textId="77777777" w:rsidR="00225B7D" w:rsidRDefault="00225B7D" w:rsidP="00B32C2F">
            <w:pPr>
              <w:rPr>
                <w:bCs/>
                <w:iCs/>
                <w:sz w:val="20"/>
                <w:szCs w:val="20"/>
              </w:rPr>
            </w:pPr>
          </w:p>
          <w:p w14:paraId="28A2BC49" w14:textId="77777777" w:rsidR="00665836" w:rsidRDefault="00665836" w:rsidP="00B32C2F">
            <w:pPr>
              <w:rPr>
                <w:bCs/>
                <w:iCs/>
                <w:sz w:val="20"/>
                <w:szCs w:val="20"/>
              </w:rPr>
            </w:pPr>
          </w:p>
          <w:p w14:paraId="061E068D" w14:textId="025EB585" w:rsidR="00D43121" w:rsidRDefault="00D43121" w:rsidP="00D43121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 year after completion of the land acquisition process, including implementation of any agreed corrective actions, as needed</w:t>
            </w:r>
          </w:p>
        </w:tc>
      </w:tr>
    </w:tbl>
    <w:p w14:paraId="7090C02D" w14:textId="77777777" w:rsidR="001436AB" w:rsidRDefault="001436AB" w:rsidP="00857FFB"/>
    <w:sectPr w:rsidR="001436AB" w:rsidSect="00DC5118">
      <w:headerReference w:type="default" r:id="rId8"/>
      <w:footerReference w:type="default" r:id="rId9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74EA7" w14:textId="77777777" w:rsidR="00DA176C" w:rsidRDefault="00DA176C" w:rsidP="004149E0">
      <w:r>
        <w:separator/>
      </w:r>
    </w:p>
  </w:endnote>
  <w:endnote w:type="continuationSeparator" w:id="0">
    <w:p w14:paraId="12684D4D" w14:textId="77777777" w:rsidR="00DA176C" w:rsidRDefault="00DA176C" w:rsidP="0041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311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B2876" w14:textId="6D862DB0" w:rsidR="003B2C89" w:rsidRDefault="003B2C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A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FC1BCC" w14:textId="77777777" w:rsidR="003B2C89" w:rsidRDefault="003B2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B106F" w14:textId="77777777" w:rsidR="00DA176C" w:rsidRDefault="00DA176C" w:rsidP="004149E0">
      <w:r>
        <w:separator/>
      </w:r>
    </w:p>
  </w:footnote>
  <w:footnote w:type="continuationSeparator" w:id="0">
    <w:p w14:paraId="379CB4CB" w14:textId="77777777" w:rsidR="00DA176C" w:rsidRDefault="00DA176C" w:rsidP="0041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E40D8" w14:textId="5C8BD72B" w:rsidR="004149E0" w:rsidRDefault="007C69C1">
    <w:pPr>
      <w:pStyle w:val="Header"/>
    </w:pPr>
    <w:r>
      <w:t>Environmental</w:t>
    </w:r>
    <w:r w:rsidR="00016B1E">
      <w:t xml:space="preserve"> and Social Action Plan (ESAP)</w:t>
    </w:r>
    <w:r w:rsidR="00C60640">
      <w:t xml:space="preserve"> – Podgorica roads (#31065)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935"/>
    <w:multiLevelType w:val="hybridMultilevel"/>
    <w:tmpl w:val="C0C4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779D"/>
    <w:multiLevelType w:val="hybridMultilevel"/>
    <w:tmpl w:val="6F966958"/>
    <w:lvl w:ilvl="0" w:tplc="2D3E29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37D8"/>
    <w:multiLevelType w:val="hybridMultilevel"/>
    <w:tmpl w:val="1F90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6131"/>
    <w:multiLevelType w:val="hybridMultilevel"/>
    <w:tmpl w:val="EBAA6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103"/>
    <w:multiLevelType w:val="hybridMultilevel"/>
    <w:tmpl w:val="5C44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C7EBA"/>
    <w:multiLevelType w:val="hybridMultilevel"/>
    <w:tmpl w:val="DAD83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86B7D"/>
    <w:multiLevelType w:val="hybridMultilevel"/>
    <w:tmpl w:val="C394BA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F7698C"/>
    <w:multiLevelType w:val="hybridMultilevel"/>
    <w:tmpl w:val="FA7E49C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EE51B93"/>
    <w:multiLevelType w:val="hybridMultilevel"/>
    <w:tmpl w:val="0F6C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10A31"/>
    <w:multiLevelType w:val="hybridMultilevel"/>
    <w:tmpl w:val="6EBEF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12F51"/>
    <w:multiLevelType w:val="hybridMultilevel"/>
    <w:tmpl w:val="D6C612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1814"/>
    <w:multiLevelType w:val="hybridMultilevel"/>
    <w:tmpl w:val="6508738A"/>
    <w:lvl w:ilvl="0" w:tplc="D01676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30093"/>
    <w:multiLevelType w:val="hybridMultilevel"/>
    <w:tmpl w:val="5D68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5300D"/>
    <w:multiLevelType w:val="hybridMultilevel"/>
    <w:tmpl w:val="239EAEE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5F3128E1"/>
    <w:multiLevelType w:val="hybridMultilevel"/>
    <w:tmpl w:val="85487EC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94E37B0">
      <w:numFmt w:val="bullet"/>
      <w:lvlText w:val="•"/>
      <w:lvlJc w:val="left"/>
      <w:pPr>
        <w:ind w:left="1755" w:hanging="675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E131F"/>
    <w:multiLevelType w:val="hybridMultilevel"/>
    <w:tmpl w:val="4524C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92AFE"/>
    <w:multiLevelType w:val="hybridMultilevel"/>
    <w:tmpl w:val="3006E6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A253EE"/>
    <w:multiLevelType w:val="hybridMultilevel"/>
    <w:tmpl w:val="E7D096C0"/>
    <w:lvl w:ilvl="0" w:tplc="AC8E49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B0F72"/>
    <w:multiLevelType w:val="hybridMultilevel"/>
    <w:tmpl w:val="051EC72A"/>
    <w:lvl w:ilvl="0" w:tplc="139A68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11DD0"/>
    <w:multiLevelType w:val="hybridMultilevel"/>
    <w:tmpl w:val="4A2CED9A"/>
    <w:lvl w:ilvl="0" w:tplc="29D2B5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B3C45"/>
    <w:multiLevelType w:val="hybridMultilevel"/>
    <w:tmpl w:val="B1AE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B759E"/>
    <w:multiLevelType w:val="hybridMultilevel"/>
    <w:tmpl w:val="D9A04B62"/>
    <w:lvl w:ilvl="0" w:tplc="12EA0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A7C49"/>
    <w:multiLevelType w:val="hybridMultilevel"/>
    <w:tmpl w:val="9478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1500E8"/>
    <w:multiLevelType w:val="hybridMultilevel"/>
    <w:tmpl w:val="E6B2D2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7E804AA0"/>
    <w:multiLevelType w:val="hybridMultilevel"/>
    <w:tmpl w:val="4ABA22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4"/>
  </w:num>
  <w:num w:numId="5">
    <w:abstractNumId w:val="24"/>
  </w:num>
  <w:num w:numId="6">
    <w:abstractNumId w:val="2"/>
  </w:num>
  <w:num w:numId="7">
    <w:abstractNumId w:val="22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8"/>
  </w:num>
  <w:num w:numId="17">
    <w:abstractNumId w:val="6"/>
  </w:num>
  <w:num w:numId="18">
    <w:abstractNumId w:val="20"/>
  </w:num>
  <w:num w:numId="19">
    <w:abstractNumId w:val="3"/>
  </w:num>
  <w:num w:numId="20">
    <w:abstractNumId w:val="23"/>
  </w:num>
  <w:num w:numId="21">
    <w:abstractNumId w:val="21"/>
  </w:num>
  <w:num w:numId="22">
    <w:abstractNumId w:val="11"/>
  </w:num>
  <w:num w:numId="23">
    <w:abstractNumId w:val="1"/>
  </w:num>
  <w:num w:numId="24">
    <w:abstractNumId w:val="18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F9"/>
    <w:rsid w:val="00013D0C"/>
    <w:rsid w:val="0001427B"/>
    <w:rsid w:val="00016B1E"/>
    <w:rsid w:val="00024A8E"/>
    <w:rsid w:val="000346E5"/>
    <w:rsid w:val="000356F8"/>
    <w:rsid w:val="00050324"/>
    <w:rsid w:val="00050CF7"/>
    <w:rsid w:val="00055A43"/>
    <w:rsid w:val="0008034B"/>
    <w:rsid w:val="0009225D"/>
    <w:rsid w:val="000D05AA"/>
    <w:rsid w:val="000E42A3"/>
    <w:rsid w:val="000F461D"/>
    <w:rsid w:val="0011002B"/>
    <w:rsid w:val="00115448"/>
    <w:rsid w:val="00130043"/>
    <w:rsid w:val="00131870"/>
    <w:rsid w:val="001364C7"/>
    <w:rsid w:val="001436AB"/>
    <w:rsid w:val="00146E92"/>
    <w:rsid w:val="00156409"/>
    <w:rsid w:val="00163815"/>
    <w:rsid w:val="0016451A"/>
    <w:rsid w:val="00167758"/>
    <w:rsid w:val="00197ED2"/>
    <w:rsid w:val="001A0759"/>
    <w:rsid w:val="001B03C6"/>
    <w:rsid w:val="001C4521"/>
    <w:rsid w:val="001C46B3"/>
    <w:rsid w:val="001C6089"/>
    <w:rsid w:val="001D3581"/>
    <w:rsid w:val="001D614E"/>
    <w:rsid w:val="00203277"/>
    <w:rsid w:val="0021265D"/>
    <w:rsid w:val="002174C6"/>
    <w:rsid w:val="00225B7D"/>
    <w:rsid w:val="00230A33"/>
    <w:rsid w:val="0023457B"/>
    <w:rsid w:val="002425A9"/>
    <w:rsid w:val="0025175A"/>
    <w:rsid w:val="00253B5F"/>
    <w:rsid w:val="00254F12"/>
    <w:rsid w:val="002566D7"/>
    <w:rsid w:val="00261DF7"/>
    <w:rsid w:val="002637D0"/>
    <w:rsid w:val="00266D3B"/>
    <w:rsid w:val="00267F9D"/>
    <w:rsid w:val="00276194"/>
    <w:rsid w:val="00280DD7"/>
    <w:rsid w:val="00280F1C"/>
    <w:rsid w:val="002A3033"/>
    <w:rsid w:val="002A53D4"/>
    <w:rsid w:val="002B268F"/>
    <w:rsid w:val="002C24F2"/>
    <w:rsid w:val="002C3E79"/>
    <w:rsid w:val="002D0B7D"/>
    <w:rsid w:val="002E37DC"/>
    <w:rsid w:val="002E5895"/>
    <w:rsid w:val="002E5E0F"/>
    <w:rsid w:val="00301490"/>
    <w:rsid w:val="00305360"/>
    <w:rsid w:val="00306970"/>
    <w:rsid w:val="00306EE8"/>
    <w:rsid w:val="00317813"/>
    <w:rsid w:val="00317AC8"/>
    <w:rsid w:val="003213E3"/>
    <w:rsid w:val="00327622"/>
    <w:rsid w:val="00330FB2"/>
    <w:rsid w:val="00337886"/>
    <w:rsid w:val="00361164"/>
    <w:rsid w:val="00366B8F"/>
    <w:rsid w:val="00380EF4"/>
    <w:rsid w:val="00397D8C"/>
    <w:rsid w:val="003A5348"/>
    <w:rsid w:val="003B2C89"/>
    <w:rsid w:val="003B395A"/>
    <w:rsid w:val="003C1502"/>
    <w:rsid w:val="004149E0"/>
    <w:rsid w:val="0042173D"/>
    <w:rsid w:val="0043132F"/>
    <w:rsid w:val="00445E90"/>
    <w:rsid w:val="0046354D"/>
    <w:rsid w:val="004755BE"/>
    <w:rsid w:val="00477A85"/>
    <w:rsid w:val="00485040"/>
    <w:rsid w:val="00497C7C"/>
    <w:rsid w:val="004A0B0D"/>
    <w:rsid w:val="004C066E"/>
    <w:rsid w:val="004C5E2F"/>
    <w:rsid w:val="004C7FEF"/>
    <w:rsid w:val="004F1576"/>
    <w:rsid w:val="004F2AC2"/>
    <w:rsid w:val="00503638"/>
    <w:rsid w:val="00525126"/>
    <w:rsid w:val="00525680"/>
    <w:rsid w:val="005346DA"/>
    <w:rsid w:val="00541B03"/>
    <w:rsid w:val="00544942"/>
    <w:rsid w:val="00566FFE"/>
    <w:rsid w:val="005B73A2"/>
    <w:rsid w:val="005C5816"/>
    <w:rsid w:val="005D732F"/>
    <w:rsid w:val="005E1E7E"/>
    <w:rsid w:val="00601A2F"/>
    <w:rsid w:val="0062313D"/>
    <w:rsid w:val="00626718"/>
    <w:rsid w:val="0064084C"/>
    <w:rsid w:val="00663D84"/>
    <w:rsid w:val="0066439E"/>
    <w:rsid w:val="00665836"/>
    <w:rsid w:val="0066690F"/>
    <w:rsid w:val="006743E4"/>
    <w:rsid w:val="006A5E1F"/>
    <w:rsid w:val="006B6387"/>
    <w:rsid w:val="006C0535"/>
    <w:rsid w:val="006D3718"/>
    <w:rsid w:val="006E6DF1"/>
    <w:rsid w:val="006F7621"/>
    <w:rsid w:val="006F7B63"/>
    <w:rsid w:val="00717B54"/>
    <w:rsid w:val="007345FE"/>
    <w:rsid w:val="00736AF2"/>
    <w:rsid w:val="007424B0"/>
    <w:rsid w:val="007604E0"/>
    <w:rsid w:val="00762ED1"/>
    <w:rsid w:val="00763C03"/>
    <w:rsid w:val="0076447B"/>
    <w:rsid w:val="00781EB6"/>
    <w:rsid w:val="00782C71"/>
    <w:rsid w:val="00794111"/>
    <w:rsid w:val="00797170"/>
    <w:rsid w:val="007B1AB6"/>
    <w:rsid w:val="007B621C"/>
    <w:rsid w:val="007C128A"/>
    <w:rsid w:val="007C69C1"/>
    <w:rsid w:val="007D0FFB"/>
    <w:rsid w:val="007D2710"/>
    <w:rsid w:val="00804ECA"/>
    <w:rsid w:val="00820E27"/>
    <w:rsid w:val="0084140A"/>
    <w:rsid w:val="00852714"/>
    <w:rsid w:val="00857FFB"/>
    <w:rsid w:val="00864E68"/>
    <w:rsid w:val="008757D9"/>
    <w:rsid w:val="0088372D"/>
    <w:rsid w:val="008926E5"/>
    <w:rsid w:val="00892ACC"/>
    <w:rsid w:val="008B6215"/>
    <w:rsid w:val="008B74FC"/>
    <w:rsid w:val="008B7865"/>
    <w:rsid w:val="008F2858"/>
    <w:rsid w:val="008F6650"/>
    <w:rsid w:val="00900A4A"/>
    <w:rsid w:val="00904056"/>
    <w:rsid w:val="00907AE0"/>
    <w:rsid w:val="00910C10"/>
    <w:rsid w:val="009136EB"/>
    <w:rsid w:val="00916537"/>
    <w:rsid w:val="00944EB5"/>
    <w:rsid w:val="009567AA"/>
    <w:rsid w:val="009609BC"/>
    <w:rsid w:val="00964B74"/>
    <w:rsid w:val="00971B47"/>
    <w:rsid w:val="009741DD"/>
    <w:rsid w:val="00985DAD"/>
    <w:rsid w:val="00987F2D"/>
    <w:rsid w:val="00992BA7"/>
    <w:rsid w:val="00995354"/>
    <w:rsid w:val="00995C6D"/>
    <w:rsid w:val="009D08C4"/>
    <w:rsid w:val="009D0D5A"/>
    <w:rsid w:val="009D1674"/>
    <w:rsid w:val="009D34A8"/>
    <w:rsid w:val="009E0021"/>
    <w:rsid w:val="00A010C8"/>
    <w:rsid w:val="00A05F78"/>
    <w:rsid w:val="00A21B54"/>
    <w:rsid w:val="00A23629"/>
    <w:rsid w:val="00A25B65"/>
    <w:rsid w:val="00A300CA"/>
    <w:rsid w:val="00A3354C"/>
    <w:rsid w:val="00A36F0F"/>
    <w:rsid w:val="00A47DC4"/>
    <w:rsid w:val="00A533F6"/>
    <w:rsid w:val="00A62F8E"/>
    <w:rsid w:val="00A740B4"/>
    <w:rsid w:val="00A776CD"/>
    <w:rsid w:val="00A8071A"/>
    <w:rsid w:val="00A9066F"/>
    <w:rsid w:val="00A90831"/>
    <w:rsid w:val="00A916F9"/>
    <w:rsid w:val="00AC0495"/>
    <w:rsid w:val="00AD54D6"/>
    <w:rsid w:val="00B02C5E"/>
    <w:rsid w:val="00B0630B"/>
    <w:rsid w:val="00B067A1"/>
    <w:rsid w:val="00B16547"/>
    <w:rsid w:val="00B27E68"/>
    <w:rsid w:val="00B32531"/>
    <w:rsid w:val="00B32C2F"/>
    <w:rsid w:val="00B52008"/>
    <w:rsid w:val="00B5493C"/>
    <w:rsid w:val="00B610CC"/>
    <w:rsid w:val="00B8767E"/>
    <w:rsid w:val="00BD3E87"/>
    <w:rsid w:val="00BE48BD"/>
    <w:rsid w:val="00BE4DB4"/>
    <w:rsid w:val="00BE6CD9"/>
    <w:rsid w:val="00BF378E"/>
    <w:rsid w:val="00C108F4"/>
    <w:rsid w:val="00C125EA"/>
    <w:rsid w:val="00C2555C"/>
    <w:rsid w:val="00C40737"/>
    <w:rsid w:val="00C510F9"/>
    <w:rsid w:val="00C60640"/>
    <w:rsid w:val="00C707A9"/>
    <w:rsid w:val="00C75920"/>
    <w:rsid w:val="00C80AA3"/>
    <w:rsid w:val="00C93AAF"/>
    <w:rsid w:val="00CD33CF"/>
    <w:rsid w:val="00CE12AA"/>
    <w:rsid w:val="00CE3B5A"/>
    <w:rsid w:val="00CE5CDB"/>
    <w:rsid w:val="00D055EE"/>
    <w:rsid w:val="00D11345"/>
    <w:rsid w:val="00D132D5"/>
    <w:rsid w:val="00D30F5B"/>
    <w:rsid w:val="00D33E97"/>
    <w:rsid w:val="00D344AD"/>
    <w:rsid w:val="00D43121"/>
    <w:rsid w:val="00D44A25"/>
    <w:rsid w:val="00D51145"/>
    <w:rsid w:val="00D55266"/>
    <w:rsid w:val="00D94FEC"/>
    <w:rsid w:val="00DA176C"/>
    <w:rsid w:val="00DA5DAE"/>
    <w:rsid w:val="00DB7BAD"/>
    <w:rsid w:val="00DC5118"/>
    <w:rsid w:val="00DD74C2"/>
    <w:rsid w:val="00DE568B"/>
    <w:rsid w:val="00DF38D9"/>
    <w:rsid w:val="00E0031B"/>
    <w:rsid w:val="00E06955"/>
    <w:rsid w:val="00E1105C"/>
    <w:rsid w:val="00E20E86"/>
    <w:rsid w:val="00E40470"/>
    <w:rsid w:val="00E44B5E"/>
    <w:rsid w:val="00E46C6D"/>
    <w:rsid w:val="00E56C05"/>
    <w:rsid w:val="00E64302"/>
    <w:rsid w:val="00E72F03"/>
    <w:rsid w:val="00EB75EC"/>
    <w:rsid w:val="00EC2D30"/>
    <w:rsid w:val="00EF7779"/>
    <w:rsid w:val="00F01490"/>
    <w:rsid w:val="00F03D29"/>
    <w:rsid w:val="00F1612E"/>
    <w:rsid w:val="00F20025"/>
    <w:rsid w:val="00F20D16"/>
    <w:rsid w:val="00F22781"/>
    <w:rsid w:val="00F34C91"/>
    <w:rsid w:val="00F37588"/>
    <w:rsid w:val="00F37F6A"/>
    <w:rsid w:val="00F45BE1"/>
    <w:rsid w:val="00F825A6"/>
    <w:rsid w:val="00F844E5"/>
    <w:rsid w:val="00FA634F"/>
    <w:rsid w:val="00FB4E85"/>
    <w:rsid w:val="00FC116F"/>
    <w:rsid w:val="00FC1320"/>
    <w:rsid w:val="00FD318C"/>
    <w:rsid w:val="00FD4064"/>
    <w:rsid w:val="00FD5FC9"/>
    <w:rsid w:val="00FE06D0"/>
    <w:rsid w:val="00FE17D2"/>
    <w:rsid w:val="00FE4901"/>
    <w:rsid w:val="00FE765D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67709D"/>
  <w15:chartTrackingRefBased/>
  <w15:docId w15:val="{EAE01D45-140F-4E38-ACFA-ABA71B7A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510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F9"/>
    <w:pPr>
      <w:ind w:left="720"/>
    </w:pPr>
    <w:rPr>
      <w:rFonts w:eastAsia="Times New Roman"/>
      <w:lang w:eastAsia="en-US"/>
    </w:rPr>
  </w:style>
  <w:style w:type="table" w:styleId="TableGrid">
    <w:name w:val="Table Grid"/>
    <w:basedOn w:val="TableNormal"/>
    <w:rsid w:val="00C5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2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6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6E5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6E5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E5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D055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14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9E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14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9E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1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13D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6231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86DB-6F2B-46D0-AA5C-84709BE6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Emilijan Mohora</dc:creator>
  <cp:keywords/>
  <dc:description/>
  <cp:lastModifiedBy>Emilijan Mohora</cp:lastModifiedBy>
  <cp:revision>2</cp:revision>
  <cp:lastPrinted>2017-08-24T11:21:00Z</cp:lastPrinted>
  <dcterms:created xsi:type="dcterms:W3CDTF">2017-10-26T09:26:00Z</dcterms:created>
  <dcterms:modified xsi:type="dcterms:W3CDTF">2017-10-26T09:26:00Z</dcterms:modified>
</cp:coreProperties>
</file>