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EF6" w:rsidRDefault="00425EF6">
      <w:r>
        <w:rPr>
          <w:rFonts w:ascii="Helv" w:hAnsi="Helv" w:cs="Helv"/>
          <w:color w:val="000000"/>
          <w:sz w:val="20"/>
          <w:szCs w:val="20"/>
        </w:rPr>
        <w:t>Policy</w:t>
      </w:r>
      <w:r>
        <w:rPr>
          <w:rFonts w:ascii="Helv" w:hAnsi="Helv" w:cs="Helv"/>
          <w:color w:val="000000"/>
          <w:sz w:val="20"/>
          <w:szCs w:val="20"/>
        </w:rPr>
        <w:br/>
      </w:r>
      <w:r>
        <w:rPr>
          <w:rFonts w:ascii="Helv" w:hAnsi="Helv" w:cs="Helv"/>
          <w:color w:val="000000"/>
          <w:sz w:val="20"/>
          <w:szCs w:val="20"/>
        </w:rPr>
        <w:br/>
        <w:t>Stora Enso attaches considerable importance to environmental and social sustainability (“Responsibility”).  This commitment to sustainable development is summarized in the Stora Enso Sustainability Policy and supporting principles and position papers.  These policies, principle and implementation actions are fully aligned with IFC’s E&amp;S requirements defined in the Performance Standards, and are published on Stora Enso’s web site at:</w:t>
      </w:r>
      <w:r>
        <w:rPr>
          <w:rFonts w:ascii="Helv" w:hAnsi="Helv" w:cs="Helv"/>
          <w:color w:val="000000"/>
          <w:sz w:val="20"/>
          <w:szCs w:val="20"/>
        </w:rPr>
        <w:br/>
      </w:r>
      <w:r>
        <w:rPr>
          <w:rFonts w:ascii="Helv" w:hAnsi="Helv" w:cs="Helv"/>
          <w:color w:val="000000"/>
          <w:sz w:val="20"/>
          <w:szCs w:val="20"/>
        </w:rPr>
        <w:br/>
        <w:t>http://www.storaenso.com/responsibility/our-approach/policies/Pages/Policies%20and%20principles.aspx</w:t>
      </w:r>
      <w:r>
        <w:rPr>
          <w:rFonts w:ascii="Helv" w:hAnsi="Helv" w:cs="Helv"/>
          <w:color w:val="000000"/>
          <w:sz w:val="20"/>
          <w:szCs w:val="20"/>
        </w:rPr>
        <w:br/>
      </w:r>
      <w:r>
        <w:rPr>
          <w:rFonts w:ascii="Helv" w:hAnsi="Helv" w:cs="Helv"/>
          <w:color w:val="000000"/>
          <w:sz w:val="20"/>
          <w:szCs w:val="20"/>
        </w:rPr>
        <w:br/>
        <w:t xml:space="preserve">Identification of Risks and Impact </w:t>
      </w:r>
      <w:r>
        <w:rPr>
          <w:rFonts w:ascii="Helv" w:hAnsi="Helv" w:cs="Helv"/>
          <w:color w:val="000000"/>
          <w:sz w:val="20"/>
          <w:szCs w:val="20"/>
        </w:rPr>
        <w:br/>
      </w:r>
      <w:r>
        <w:rPr>
          <w:rFonts w:ascii="Helv" w:hAnsi="Helv" w:cs="Helv"/>
          <w:color w:val="000000"/>
          <w:sz w:val="20"/>
          <w:szCs w:val="20"/>
        </w:rPr>
        <w:br/>
        <w:t>Plantation Operations</w:t>
      </w:r>
      <w:r>
        <w:rPr>
          <w:rFonts w:ascii="Helv" w:hAnsi="Helv" w:cs="Helv"/>
          <w:color w:val="000000"/>
          <w:sz w:val="20"/>
          <w:szCs w:val="20"/>
        </w:rPr>
        <w:br/>
        <w:t>SEGX commenced development of its plantation assets in 2002.  At that time, development was based upon acquisition of existing eucalyptus, pine or acacia plantation, or land that had been used for marginally productive agricultural crops such as sugar cane or fruit trees, though defined as forest land.  These early developments largely entailed change of ownership or management control of existing plantation assets, and the environmental or social impact of these changes was considered to be limited.</w:t>
      </w:r>
      <w:r>
        <w:rPr>
          <w:rFonts w:ascii="Helv" w:hAnsi="Helv" w:cs="Helv"/>
          <w:color w:val="000000"/>
          <w:sz w:val="20"/>
          <w:szCs w:val="20"/>
        </w:rPr>
        <w:br/>
      </w:r>
      <w:r>
        <w:rPr>
          <w:rFonts w:ascii="Helv" w:hAnsi="Helv" w:cs="Helv"/>
          <w:color w:val="000000"/>
          <w:sz w:val="20"/>
          <w:szCs w:val="20"/>
        </w:rPr>
        <w:br/>
        <w:t>Following these early developments, Stora Enso commissioned the United Nations Development Programme (UNDP) to undertake an Environmental and Social Impact Assessment (ESIA) of its plantation project.  Work on this ESIA commenced in August 2005 and the report was published in February 2006, and is available at the following link:</w:t>
      </w:r>
      <w:r>
        <w:rPr>
          <w:rFonts w:ascii="Helv" w:hAnsi="Helv" w:cs="Helv"/>
          <w:color w:val="000000"/>
          <w:sz w:val="20"/>
          <w:szCs w:val="20"/>
        </w:rPr>
        <w:br/>
      </w:r>
      <w:r>
        <w:rPr>
          <w:rFonts w:ascii="Helv" w:hAnsi="Helv" w:cs="Helv"/>
          <w:color w:val="000000"/>
          <w:sz w:val="20"/>
          <w:szCs w:val="20"/>
        </w:rPr>
        <w:br/>
        <w:t>http://www.undp.org.cn/downloads/otherlocal/FinalESIA.pdf</w:t>
      </w:r>
      <w:r>
        <w:rPr>
          <w:rFonts w:ascii="Helv" w:hAnsi="Helv" w:cs="Helv"/>
          <w:color w:val="000000"/>
          <w:sz w:val="20"/>
          <w:szCs w:val="20"/>
        </w:rPr>
        <w:br/>
      </w:r>
      <w:r>
        <w:rPr>
          <w:rFonts w:ascii="Helv" w:hAnsi="Helv" w:cs="Helv"/>
          <w:color w:val="000000"/>
          <w:sz w:val="20"/>
          <w:szCs w:val="20"/>
        </w:rPr>
        <w:br/>
        <w:t>The report and its conclusions were presented to the public at a press conference held in Guangxi in March 2006.  The overarching conclusions of the UNDP ESIA were that there were major social-related challenges, but that environmental impacts “can be mitigated through rigorous and disciplined management.”  The March 2006 press conference announced an Action Plan arising from the ESIA, which focused on the following areas: (i) Stakeholder communication; (ii) a conservation strategy which given the limited biodiversity values in the plantation land focused on support to external conservation work, such as the Shankou mangrove reserve’s program; (iii) enhanced employment conditions for plantation subcontract workers; (iv) operational issues related to rental payments, and fuel wood; (v) environmental issues related to effects of plantations on water availability and quality, soil fertility and pest and disease control; and (vi) development funds for health, education, drinking water and road construction.</w:t>
      </w:r>
      <w:r>
        <w:rPr>
          <w:rFonts w:ascii="Helv" w:hAnsi="Helv" w:cs="Helv"/>
          <w:color w:val="000000"/>
          <w:sz w:val="20"/>
          <w:szCs w:val="20"/>
        </w:rPr>
        <w:br/>
      </w:r>
      <w:r>
        <w:rPr>
          <w:rFonts w:ascii="Helv" w:hAnsi="Helv" w:cs="Helv"/>
          <w:color w:val="000000"/>
          <w:sz w:val="20"/>
          <w:szCs w:val="20"/>
        </w:rPr>
        <w:br/>
        <w:t>A further program of formal environmental impact assessment was undertaken in support of permitting applications for the Integrate Project, and concluded with the conclusion in April 2008 of an Environmental Impact Assessment of the Raw Material Forest Base for the 900,000 tonnes/year of pulp and 900,000 tonnes/year paper and board project.</w:t>
      </w:r>
      <w:r>
        <w:rPr>
          <w:rFonts w:ascii="Helv" w:hAnsi="Helv" w:cs="Helv"/>
          <w:color w:val="000000"/>
          <w:sz w:val="20"/>
          <w:szCs w:val="20"/>
        </w:rPr>
        <w:br/>
      </w:r>
      <w:r>
        <w:rPr>
          <w:rFonts w:ascii="Helv" w:hAnsi="Helv" w:cs="Helv"/>
          <w:color w:val="000000"/>
          <w:sz w:val="20"/>
          <w:szCs w:val="20"/>
        </w:rPr>
        <w:br/>
        <w:t>These formal studies have built upon and compiled a number of earlier subject-matter assessments commissioned by Stora Enso. These have included desk review of literature on environmental impact of eucalyptus plantation, assessment of the impact of eucalyptus plantations on biodiversity and assessment of the impacts of Stora Enso’s Guangxi plantations on regional water resources and ecosystem sustainability.</w:t>
      </w:r>
      <w:r>
        <w:rPr>
          <w:rFonts w:ascii="Helv" w:hAnsi="Helv" w:cs="Helv"/>
          <w:color w:val="000000"/>
          <w:sz w:val="20"/>
          <w:szCs w:val="20"/>
        </w:rPr>
        <w:br/>
      </w:r>
      <w:r>
        <w:rPr>
          <w:rFonts w:ascii="Helv" w:hAnsi="Helv" w:cs="Helv"/>
          <w:color w:val="000000"/>
          <w:sz w:val="20"/>
          <w:szCs w:val="20"/>
        </w:rPr>
        <w:br/>
      </w:r>
      <w:r>
        <w:rPr>
          <w:rFonts w:ascii="Helv" w:hAnsi="Helv" w:cs="Helv"/>
          <w:color w:val="000000"/>
          <w:sz w:val="20"/>
          <w:szCs w:val="20"/>
        </w:rPr>
        <w:lastRenderedPageBreak/>
        <w:t>The formal environmental and social assessment is conducted across all plantation holdings but more detailed assessment is undertaken in planning and management of individual forest compartments (5-50 hectares) which are mapped using GPS and incorporated into the Company’s Geographic Information System (GIS).  The ecological, administrative and production parameters for each compartment form the basis for management planning and environmental and social review at the operational level.  Acquisition of leases, harvesting of existing plantations, construction of roads, and replanting specifications are generally tailored to each compartment. Organizing all of this information has been a significant challenge but now forms the basis for assessment and adaptive management plans and more systematic review at a much smaller scale.</w:t>
      </w:r>
      <w:r>
        <w:rPr>
          <w:rFonts w:ascii="Helv" w:hAnsi="Helv" w:cs="Helv"/>
          <w:color w:val="000000"/>
          <w:sz w:val="20"/>
          <w:szCs w:val="20"/>
        </w:rPr>
        <w:br/>
      </w:r>
      <w:r>
        <w:rPr>
          <w:rFonts w:ascii="Helv" w:hAnsi="Helv" w:cs="Helv"/>
          <w:color w:val="000000"/>
          <w:sz w:val="20"/>
          <w:szCs w:val="20"/>
        </w:rPr>
        <w:br/>
        <w:t xml:space="preserve">P&amp;B Mill </w:t>
      </w:r>
      <w:r>
        <w:rPr>
          <w:rFonts w:ascii="Helv" w:hAnsi="Helv" w:cs="Helv"/>
          <w:color w:val="000000"/>
          <w:sz w:val="20"/>
          <w:szCs w:val="20"/>
        </w:rPr>
        <w:br/>
        <w:t>An Environmental Impact Assessment (EIA) for a project to manufacture 900,000 tonnes/year of hardwood Kraft pulp and 900,000 tonnes/year of paper and board was concluded in October 2008.  This EIA, which was prepared on Stora Enso’s behalf by the Guangxi Research Institute of Environmental Protection, drew on and was supplemented by a wide variety of individual subject-matter assessments, including analysis by the South China Sea Institute of Oceanology on the impact of the project on the marine environment of Beibu Gulf, two dimensional modeling by the Tianjin Research Institute of Water Transport Engineering of the expected dispersion of effluents discharged by the project, an assessment by the Guangxi Water and Power Design Institute of the water resources for the Tieshangang Industry Zone. The EIA was reviewed at a hearing by the relevant Chinese authorities in March 2008. Following the review the EIA was revised and new industry regulations issued in June 2008 were incorporated.  On the basis of the October 2008 EIA, and a complementary hearing the Chinese Ministry of Environmental Protection approved the P&amp;B Mill project in December 2008.</w:t>
      </w:r>
      <w:r>
        <w:rPr>
          <w:rFonts w:ascii="Helv" w:hAnsi="Helv" w:cs="Helv"/>
          <w:color w:val="000000"/>
          <w:sz w:val="20"/>
          <w:szCs w:val="20"/>
        </w:rPr>
        <w:br/>
      </w:r>
      <w:r>
        <w:rPr>
          <w:rFonts w:ascii="Helv" w:hAnsi="Helv" w:cs="Helv"/>
          <w:color w:val="000000"/>
          <w:sz w:val="20"/>
          <w:szCs w:val="20"/>
        </w:rPr>
        <w:br/>
        <w:t>UNDP was commissioned to undertake a review of an early, 2007 draft of the EIA and its findings were presented in June 2008. This review, prepared by Hatfield Consultants working as subcontractors to UNDP provided input to the revision of the EIA, to a three dimensional discharge modeling commissioned by SE and to the further assessment review concluded in a report dated April 27th 2012 contracted by UNDP on behalf of Stora Enso and undertaken by the consultant firm GHD.  In addition, Stora Enso has undertaken additional reporting and synthesis of data on certain issues at IFC’s request, as will be discussed later.</w:t>
      </w:r>
      <w:r>
        <w:rPr>
          <w:rFonts w:ascii="Helv" w:hAnsi="Helv" w:cs="Helv"/>
          <w:color w:val="000000"/>
          <w:sz w:val="20"/>
          <w:szCs w:val="20"/>
        </w:rPr>
        <w:br/>
      </w:r>
      <w:r>
        <w:rPr>
          <w:rFonts w:ascii="Helv" w:hAnsi="Helv" w:cs="Helv"/>
          <w:color w:val="000000"/>
          <w:sz w:val="20"/>
          <w:szCs w:val="20"/>
        </w:rPr>
        <w:br/>
        <w:t>Cumulative Impact Assessment</w:t>
      </w:r>
      <w:r>
        <w:rPr>
          <w:rFonts w:ascii="Helv" w:hAnsi="Helv" w:cs="Helv"/>
          <w:color w:val="000000"/>
          <w:sz w:val="20"/>
          <w:szCs w:val="20"/>
        </w:rPr>
        <w:br/>
        <w:t>The P&amp;B Mill project is being developed as one component of the Tieshangang Industrial Zone which in turn is a part of the development of the Development Scheme of the Guangxi Beibu Gulf Economic Zone which was approved by The People's Republic of China's (PRC) State Council in early 2008.</w:t>
      </w:r>
      <w:r>
        <w:rPr>
          <w:rFonts w:ascii="Helv" w:hAnsi="Helv" w:cs="Helv"/>
          <w:color w:val="000000"/>
          <w:sz w:val="20"/>
          <w:szCs w:val="20"/>
        </w:rPr>
        <w:br/>
      </w:r>
      <w:r>
        <w:rPr>
          <w:rFonts w:ascii="Helv" w:hAnsi="Helv" w:cs="Helv"/>
          <w:color w:val="000000"/>
          <w:sz w:val="20"/>
          <w:szCs w:val="20"/>
        </w:rPr>
        <w:br/>
        <w:t>Regional environmental planning for the Tieshangang Industrial Zone has been undertaken, and this includes modeling the maximum assimilative capacity of the TSG ambient environment. On this basis, maximum allowed emissions of particulate matter and sulfur dioxide to air, and of COD and inorganic nitrogen to water, consistent with maintaining defined national air and water quality standards have been defined.  The anticipated annual emission/discharge quantities for each parameter have also been estimated, based on the combined emissions of companies expected to enter into the TSG zone. The regional environmental plan concludes that these quantities will not exceed above-mentioned maximum allowed limits, if a number of required actions (e.g. building waste water treatment plants to required specifications; optimal distribution of waste water discharge between the two zonal discharge points) are followed by each company and the Zone authorities. The plan lists detailed monitoring requirements as a means of ensuring regulatory compliance by companies and the zone.</w:t>
      </w:r>
      <w:r>
        <w:rPr>
          <w:rFonts w:ascii="Helv" w:hAnsi="Helv" w:cs="Helv"/>
          <w:color w:val="000000"/>
          <w:sz w:val="20"/>
          <w:szCs w:val="20"/>
        </w:rPr>
        <w:br/>
      </w:r>
      <w:r>
        <w:rPr>
          <w:rFonts w:ascii="Helv" w:hAnsi="Helv" w:cs="Helv"/>
          <w:color w:val="000000"/>
          <w:sz w:val="20"/>
          <w:szCs w:val="20"/>
        </w:rPr>
        <w:br/>
      </w:r>
      <w:r>
        <w:rPr>
          <w:rFonts w:ascii="Helv" w:hAnsi="Helv" w:cs="Helv"/>
          <w:color w:val="000000"/>
          <w:sz w:val="20"/>
          <w:szCs w:val="20"/>
        </w:rPr>
        <w:lastRenderedPageBreak/>
        <w:t>When required actions have been undertaken, the TSG zone and resident companies are expected to meet the following national standards:</w:t>
      </w:r>
      <w:r>
        <w:rPr>
          <w:rFonts w:ascii="Helv" w:hAnsi="Helv" w:cs="Helv"/>
          <w:color w:val="000000"/>
          <w:sz w:val="20"/>
          <w:szCs w:val="20"/>
        </w:rPr>
        <w:br/>
        <w:t>Ambient Air Quality Standard (GB3095-1996) level two limits;</w:t>
      </w:r>
      <w:r>
        <w:rPr>
          <w:rFonts w:ascii="Helv" w:hAnsi="Helv" w:cs="Helv"/>
          <w:color w:val="000000"/>
          <w:sz w:val="20"/>
          <w:szCs w:val="20"/>
        </w:rPr>
        <w:br/>
        <w:t>At Hepu Shatian Yuliang Nature Conservation Area, and Shankou Mangrove Conservation Zone: Ocean Water Quality Standard (GB3097-1997) level one limits;</w:t>
      </w:r>
      <w:r>
        <w:rPr>
          <w:rFonts w:ascii="Helv" w:hAnsi="Helv" w:cs="Helv"/>
          <w:color w:val="000000"/>
          <w:sz w:val="20"/>
          <w:szCs w:val="20"/>
        </w:rPr>
        <w:br/>
        <w:t>Other nearby water body ambient quality: GB3097-1997 level two limits;</w:t>
      </w:r>
      <w:r>
        <w:rPr>
          <w:rFonts w:ascii="Helv" w:hAnsi="Helv" w:cs="Helv"/>
          <w:color w:val="000000"/>
          <w:sz w:val="20"/>
          <w:szCs w:val="20"/>
        </w:rPr>
        <w:br/>
        <w:t>Companies discharging into Zone waste water treatment plant (WWTP): General Effluent Standard (GB8978-1996) level three limits;</w:t>
      </w:r>
      <w:r>
        <w:rPr>
          <w:rFonts w:ascii="Helv" w:hAnsi="Helv" w:cs="Helv"/>
          <w:color w:val="000000"/>
          <w:sz w:val="20"/>
          <w:szCs w:val="20"/>
        </w:rPr>
        <w:br/>
        <w:t>Stora Enso discharge into Zone WWTP: Pulp &amp; Paper Industrial Effluent Standard (GB3544-2008) Table 2 limits;</w:t>
      </w:r>
      <w:r>
        <w:rPr>
          <w:rFonts w:ascii="Helv" w:hAnsi="Helv" w:cs="Helv"/>
          <w:color w:val="000000"/>
          <w:sz w:val="20"/>
          <w:szCs w:val="20"/>
        </w:rPr>
        <w:br/>
        <w:t>Zone WWTP discharge into waterways and water bodies: Urban WWTP Discharge Standard (GB18918-2002) level two limits.</w:t>
      </w:r>
      <w:r>
        <w:rPr>
          <w:rFonts w:ascii="Helv" w:hAnsi="Helv" w:cs="Helv"/>
          <w:color w:val="000000"/>
          <w:sz w:val="20"/>
          <w:szCs w:val="20"/>
        </w:rPr>
        <w:br/>
      </w:r>
      <w:r>
        <w:rPr>
          <w:rFonts w:ascii="Helv" w:hAnsi="Helv" w:cs="Helv"/>
          <w:color w:val="000000"/>
          <w:sz w:val="20"/>
          <w:szCs w:val="20"/>
        </w:rPr>
        <w:br/>
        <w:t>Water consumption and supply to the zone have also been defined in the plan.  Consideration has been taken of these overall limits, in defining the type of industrial or commercial enterprise that may be permitted to be established within the Tieshangang zone.</w:t>
      </w:r>
      <w:r>
        <w:rPr>
          <w:rFonts w:ascii="Helv" w:hAnsi="Helv" w:cs="Helv"/>
          <w:color w:val="000000"/>
          <w:sz w:val="20"/>
          <w:szCs w:val="20"/>
        </w:rPr>
        <w:br/>
      </w:r>
      <w:r>
        <w:rPr>
          <w:rFonts w:ascii="Helv" w:hAnsi="Helv" w:cs="Helv"/>
          <w:color w:val="000000"/>
          <w:sz w:val="20"/>
          <w:szCs w:val="20"/>
        </w:rPr>
        <w:br/>
        <w:t>Management Programs and Organizational Capacity</w:t>
      </w:r>
      <w:r>
        <w:rPr>
          <w:rFonts w:ascii="Helv" w:hAnsi="Helv" w:cs="Helv"/>
          <w:color w:val="000000"/>
          <w:sz w:val="20"/>
          <w:szCs w:val="20"/>
        </w:rPr>
        <w:br/>
      </w:r>
      <w:r>
        <w:rPr>
          <w:rFonts w:ascii="Helv" w:hAnsi="Helv" w:cs="Helv"/>
          <w:color w:val="000000"/>
          <w:sz w:val="20"/>
          <w:szCs w:val="20"/>
        </w:rPr>
        <w:br/>
        <w:t>Plantation Operations</w:t>
      </w:r>
      <w:r>
        <w:rPr>
          <w:rFonts w:ascii="Helv" w:hAnsi="Helv" w:cs="Helv"/>
          <w:color w:val="000000"/>
          <w:sz w:val="20"/>
          <w:szCs w:val="20"/>
        </w:rPr>
        <w:br/>
        <w:t xml:space="preserve">IFC’s review confirms that SEGX has established a functional sustainability organization staffed by key local personnel (e.g. regional sustainability managers, social engagement officers, social scientist, environment manager, occupational health and safety (OHS) manager, and environmental and OHS specialists) who are based in the four central and southern Guangxi prefectures where SEGX has plantation operations. The organizational structure has evolved and become more decentralized which allows SEGX to localize its sustainability team which has improved monitoring and management of Environmental &amp; Social (E&amp;S) issues on the ground. A review of staffing indicates that most sustainability positions are filled and that there is an increasing field-level capacity to identify and correct nonconformities with SEGX’s established procedures.  </w:t>
      </w:r>
      <w:r>
        <w:rPr>
          <w:rFonts w:ascii="Helv" w:hAnsi="Helv" w:cs="Helv"/>
          <w:color w:val="000000"/>
          <w:sz w:val="20"/>
          <w:szCs w:val="20"/>
        </w:rPr>
        <w:br/>
      </w:r>
      <w:r>
        <w:rPr>
          <w:rFonts w:ascii="Helv" w:hAnsi="Helv" w:cs="Helv"/>
          <w:color w:val="000000"/>
          <w:sz w:val="20"/>
          <w:szCs w:val="20"/>
        </w:rPr>
        <w:br/>
        <w:t xml:space="preserve">SEGX has developed a management system which allows it to integrate sustainability concerns into daily activities. The Business Management System (BMS) details objectives, targets and operating procedures for all wood supply and production functions.  The Management-Information System (MIS) includes a GIS which allows the Company to manage and monitor its activities down to a small and appropriate scale. Regular data collection and input by district staff enables the sustainability team to access timely information through the MIS and monitor status closely.  The daily management of field-level forestry activities is directed through SEGX’s Integrated Operational Site Plans (IOSP) which are intended to bring all environmental and social sustainability specifications down to the stand or compartment level.  </w:t>
      </w:r>
      <w:r>
        <w:rPr>
          <w:rFonts w:ascii="Helv" w:hAnsi="Helv" w:cs="Helv"/>
          <w:color w:val="000000"/>
          <w:sz w:val="20"/>
          <w:szCs w:val="20"/>
        </w:rPr>
        <w:br/>
      </w:r>
      <w:r>
        <w:rPr>
          <w:rFonts w:ascii="Helv" w:hAnsi="Helv" w:cs="Helv"/>
          <w:color w:val="000000"/>
          <w:sz w:val="20"/>
          <w:szCs w:val="20"/>
        </w:rPr>
        <w:br/>
        <w:t>Reconciling all of the sustainability criteria across all management activities is ongoing.  It has been periodically observed that the environmental and social assessment procedure for plantation establishment and harvest was applied to the stand or compartment level to various extents across different sub-compartments. In relation to this, a review of the inclusion of sustainability criteria in relevant operational documents will be undertaken (refer to ESAP), including a review of how potential impacts on biodiversity and ecosystem services are enhanced.</w:t>
      </w:r>
      <w:r>
        <w:rPr>
          <w:rFonts w:ascii="Helv" w:hAnsi="Helv" w:cs="Helv"/>
          <w:color w:val="000000"/>
          <w:sz w:val="20"/>
          <w:szCs w:val="20"/>
        </w:rPr>
        <w:br/>
      </w:r>
      <w:r>
        <w:rPr>
          <w:rFonts w:ascii="Helv" w:hAnsi="Helv" w:cs="Helv"/>
          <w:color w:val="000000"/>
          <w:sz w:val="20"/>
          <w:szCs w:val="20"/>
        </w:rPr>
        <w:br/>
        <w:t xml:space="preserve">SEGX’s plantation operations were certified to OHSAS 18001 OHS Management System in May 2011 by SGS and to the ISO 14001:2004 Environmental Management System (EMS) standard, and ISO 9001:2008 Quality Management System standard in November 2011 by DNV.  The BMS, which forms the </w:t>
      </w:r>
      <w:r>
        <w:rPr>
          <w:rFonts w:ascii="Helv" w:hAnsi="Helv" w:cs="Helv"/>
          <w:color w:val="000000"/>
          <w:sz w:val="20"/>
          <w:szCs w:val="20"/>
        </w:rPr>
        <w:lastRenderedPageBreak/>
        <w:t>procedural basis for these management systems and respective certifications, was reviewed during appraisal and found to be robust and appropriately detailed.  It was found that these management systems provide a substantial basis for successful progression to FSC conformity which is described below under the PS6 section.</w:t>
      </w:r>
      <w:r>
        <w:rPr>
          <w:rFonts w:ascii="Helv" w:hAnsi="Helv" w:cs="Helv"/>
          <w:color w:val="000000"/>
          <w:sz w:val="20"/>
          <w:szCs w:val="20"/>
        </w:rPr>
        <w:br/>
      </w:r>
      <w:r>
        <w:rPr>
          <w:rFonts w:ascii="Helv" w:hAnsi="Helv" w:cs="Helv"/>
          <w:color w:val="000000"/>
          <w:sz w:val="20"/>
          <w:szCs w:val="20"/>
        </w:rPr>
        <w:br/>
        <w:t>Mill</w:t>
      </w:r>
      <w:r>
        <w:rPr>
          <w:rFonts w:ascii="Helv" w:hAnsi="Helv" w:cs="Helv"/>
          <w:color w:val="000000"/>
          <w:sz w:val="20"/>
          <w:szCs w:val="20"/>
        </w:rPr>
        <w:br/>
        <w:t>In accordance with its Principles for Implementation of Environmental Management Systems, Stora Enso will develop and implement formal quality assurance, environmental and OHS management systems for the mill, and as it has done at its Dawang and Suzhou mills will certify these management systems compliant with ISO 14001 and OHSAS 18001 respectively.</w:t>
      </w:r>
      <w:r>
        <w:rPr>
          <w:rFonts w:ascii="Helv" w:hAnsi="Helv" w:cs="Helv"/>
          <w:color w:val="000000"/>
          <w:sz w:val="20"/>
          <w:szCs w:val="20"/>
        </w:rPr>
        <w:br/>
      </w:r>
      <w:r>
        <w:rPr>
          <w:rFonts w:ascii="Helv" w:hAnsi="Helv" w:cs="Helv"/>
          <w:color w:val="000000"/>
          <w:sz w:val="20"/>
          <w:szCs w:val="20"/>
        </w:rPr>
        <w:br/>
        <w:t>Plantation Operations Contractor Management</w:t>
      </w:r>
      <w:r>
        <w:rPr>
          <w:rFonts w:ascii="Helv" w:hAnsi="Helv" w:cs="Helv"/>
          <w:color w:val="000000"/>
          <w:sz w:val="20"/>
          <w:szCs w:val="20"/>
        </w:rPr>
        <w:br/>
        <w:t xml:space="preserve">SEGX makes considerable use of contractors to carry out wood production, harvesting, and log transport activities at sites, and with its own field staff supervising their work regularly.  Contractors therefore have a direct impact on the successful sustainable implementation of SEGX’s IOSP and the risks and impact associated with contractor operations are significant.  During previous visits, IFC found that certain SEGX sustainability requirements (e.g. slope limits for roads, use of contours for harvesting or replanting, and set-backs from intermittent water features) were not fully detailed in the IOSPs and consequently not implemented resulting in erosion and surface water contamination. More recently, operational instructions to contractors have been revised to include all SEGX sustainability requirements. </w:t>
      </w:r>
      <w:r>
        <w:rPr>
          <w:rFonts w:ascii="Helv" w:hAnsi="Helv" w:cs="Helv"/>
          <w:color w:val="000000"/>
          <w:sz w:val="20"/>
          <w:szCs w:val="20"/>
        </w:rPr>
        <w:br/>
      </w:r>
      <w:r>
        <w:rPr>
          <w:rFonts w:ascii="Helv" w:hAnsi="Helv" w:cs="Helv"/>
          <w:color w:val="000000"/>
          <w:sz w:val="20"/>
          <w:szCs w:val="20"/>
        </w:rPr>
        <w:br/>
        <w:t>Up to 2008, more than 1,000 contractors were providing various wood production services to SEGX. In 2009, the Company reviewed its contractor management plan and started reducing the number of contractors, while working to enhance the capacity of the contractors with whom it continued to work. During 2012 a total of 116 contractors worked with SEGX - 79% in wood production operations and 30% in harvesting operations (including road, transportation and loading). Some contractors were involved in multiple contracts. There were 2568 workers of 81 contractors who attended training organized in 2012. Training topics included occupational health and safety, labor rights and responsibilities, worker grievance channels, SEGX sustainability requirements and operational instructions.</w:t>
      </w:r>
      <w:r>
        <w:rPr>
          <w:rFonts w:ascii="Helv" w:hAnsi="Helv" w:cs="Helv"/>
          <w:color w:val="000000"/>
          <w:sz w:val="20"/>
          <w:szCs w:val="20"/>
        </w:rPr>
        <w:br/>
      </w:r>
      <w:r>
        <w:rPr>
          <w:rFonts w:ascii="Helv" w:hAnsi="Helv" w:cs="Helv"/>
          <w:color w:val="000000"/>
          <w:sz w:val="20"/>
          <w:szCs w:val="20"/>
        </w:rPr>
        <w:br/>
        <w:t>SEGX has taken steps in the past two years to improve its sustainability requirements and contractor compliance, by strengthening its monitoring system and seconding skilled contractor management personnel from other Stora Enso operations.  SEGX established a “Sustainability Checklist and Requirements for Contractors” in 2009 as its main tool to monitor contractor compliance. The version updated in September 2011 consisted of 42 sustainability compliance verification items (e.g. availability of biodiversity buffer zone; handling of hazardous materials, etc). Based on this system, contractor sustainability performance in 2012 was rated for the four regions of Beihai, Nanning, Yulin, and Qinlian. SEGX evaluated 91 contractors in December 2012 against operational and sustainability criteria, There were 2 contractors evaluated to be non-compliant in 2012. Based on work site audits conducted by SEGX employees, the overall conformity rate in 2012 was 97%.</w:t>
      </w:r>
      <w:r>
        <w:rPr>
          <w:rFonts w:ascii="Helv" w:hAnsi="Helv" w:cs="Helv"/>
          <w:color w:val="000000"/>
          <w:sz w:val="20"/>
          <w:szCs w:val="20"/>
        </w:rPr>
        <w:br/>
      </w:r>
      <w:r>
        <w:rPr>
          <w:rFonts w:ascii="Helv" w:hAnsi="Helv" w:cs="Helv"/>
          <w:color w:val="000000"/>
          <w:sz w:val="20"/>
          <w:szCs w:val="20"/>
        </w:rPr>
        <w:br/>
        <w:t xml:space="preserve">SEGX has integrated E&amp;S requirements deriving from its quality, environmental, occupational health and safety and sustainable forestry management systems into the IOSP and other operational instructions and is continually refining systems to ensure that contractors follow IOSP and other operational and sustainability requirements. </w:t>
      </w:r>
      <w:r>
        <w:rPr>
          <w:rFonts w:ascii="Helv" w:hAnsi="Helv" w:cs="Helv"/>
          <w:color w:val="000000"/>
          <w:sz w:val="20"/>
          <w:szCs w:val="20"/>
        </w:rPr>
        <w:br/>
      </w:r>
      <w:r>
        <w:rPr>
          <w:rFonts w:ascii="Helv" w:hAnsi="Helv" w:cs="Helv"/>
          <w:color w:val="000000"/>
          <w:sz w:val="20"/>
          <w:szCs w:val="20"/>
        </w:rPr>
        <w:br/>
        <w:t>Emergency Preparedness and Response</w:t>
      </w:r>
      <w:r>
        <w:rPr>
          <w:rFonts w:ascii="Helv" w:hAnsi="Helv" w:cs="Helv"/>
          <w:color w:val="000000"/>
          <w:sz w:val="20"/>
          <w:szCs w:val="20"/>
        </w:rPr>
        <w:br/>
        <w:t xml:space="preserve">The Company “footprint” covers a very large area and the communications and strategies and response for emergency must be decentralized. Assessment of risks, including transportation-related accidents and </w:t>
      </w:r>
      <w:r>
        <w:rPr>
          <w:rFonts w:ascii="Helv" w:hAnsi="Helv" w:cs="Helv"/>
          <w:color w:val="000000"/>
          <w:sz w:val="20"/>
          <w:szCs w:val="20"/>
        </w:rPr>
        <w:lastRenderedPageBreak/>
        <w:t xml:space="preserve">fire, drive an active prevention program.  Considerable resources are dedicated to employee and contractor training and drilling for accident prevention which is logged and assessed periodically for effectiveness. The safety and accident prevention culture of the Company has begun to make an important difference to owned and contracted operations and reduction in accidents has been significant. Regional supervisors and sustainability officers are connected through cell phones and communication appears to be adequate.  Equipment for fires is pre-positioned in most areas and local staff have developed good contacts with first responders and government agencies. Contractors have an increasing familiarity with requirements and procedures and contact information and communications is improving. Fire detection remains dependent on visual observations and tele-detection systems are not yet in place. SEGX’s GIS system provides an important backbone for management risks and response that benefit the larger region.  Although increasing community-level training for emergencies will be required as production increases, SEGX’s dedication and discipline around emergency management is providing an important example across Guangxi. </w:t>
      </w:r>
      <w:r>
        <w:rPr>
          <w:rFonts w:ascii="Helv" w:hAnsi="Helv" w:cs="Helv"/>
          <w:color w:val="000000"/>
          <w:sz w:val="20"/>
          <w:szCs w:val="20"/>
        </w:rPr>
        <w:br/>
      </w:r>
      <w:r>
        <w:rPr>
          <w:rFonts w:ascii="Helv" w:hAnsi="Helv" w:cs="Helv"/>
          <w:color w:val="000000"/>
          <w:sz w:val="20"/>
          <w:szCs w:val="20"/>
        </w:rPr>
        <w:br/>
        <w:t>Monitoring and Review</w:t>
      </w:r>
      <w:r>
        <w:rPr>
          <w:rFonts w:ascii="Helv" w:hAnsi="Helv" w:cs="Helv"/>
          <w:color w:val="000000"/>
          <w:sz w:val="20"/>
          <w:szCs w:val="20"/>
        </w:rPr>
        <w:br/>
      </w:r>
      <w:r>
        <w:rPr>
          <w:rFonts w:ascii="Helv" w:hAnsi="Helv" w:cs="Helv"/>
          <w:color w:val="000000"/>
          <w:sz w:val="20"/>
          <w:szCs w:val="20"/>
        </w:rPr>
        <w:br/>
        <w:t xml:space="preserve">This function is provided at several levels. </w:t>
      </w:r>
      <w:r>
        <w:rPr>
          <w:rFonts w:ascii="Helv" w:hAnsi="Helv" w:cs="Helv"/>
          <w:color w:val="000000"/>
          <w:sz w:val="20"/>
          <w:szCs w:val="20"/>
        </w:rPr>
        <w:br/>
      </w:r>
      <w:r>
        <w:rPr>
          <w:rFonts w:ascii="Helv" w:hAnsi="Helv" w:cs="Helv"/>
          <w:color w:val="000000"/>
          <w:sz w:val="20"/>
          <w:szCs w:val="20"/>
        </w:rPr>
        <w:br/>
        <w:t>Stora Enso globally on an annual basis publishes a report summarizing its Responsibility performance worldwide.  This report discusses principles guiding Stora Enso’s approach to Responsibility, Human Resources, including reports on total employment, and OHS (lost time accident frequency and a discussion of fatal accidents if any occurred), wood sourcing and environmental indicators, with key environmental indicators reported at operating unit level.  The report follows the guidelines of the Global Reporting Initiative and is subject to assurance audit before publication. Stora Enso’s 2012 Global Responsibility Report is available at the following link:</w:t>
      </w:r>
      <w:r>
        <w:rPr>
          <w:rFonts w:ascii="Helv" w:hAnsi="Helv" w:cs="Helv"/>
          <w:color w:val="000000"/>
          <w:sz w:val="20"/>
          <w:szCs w:val="20"/>
        </w:rPr>
        <w:br/>
      </w:r>
      <w:r>
        <w:rPr>
          <w:rFonts w:ascii="Helv" w:hAnsi="Helv" w:cs="Helv"/>
          <w:color w:val="000000"/>
          <w:sz w:val="20"/>
          <w:szCs w:val="20"/>
        </w:rPr>
        <w:br/>
        <w:t>http://www.storaenso.com/responsibility/Documents/Stora_Enso_Global_Responsibility_Report_2012_finalversion.pdf</w:t>
      </w:r>
      <w:r>
        <w:rPr>
          <w:rFonts w:ascii="Helv" w:hAnsi="Helv" w:cs="Helv"/>
          <w:color w:val="000000"/>
          <w:sz w:val="20"/>
          <w:szCs w:val="20"/>
        </w:rPr>
        <w:br/>
      </w:r>
      <w:r>
        <w:rPr>
          <w:rFonts w:ascii="Helv" w:hAnsi="Helv" w:cs="Helv"/>
          <w:color w:val="000000"/>
          <w:sz w:val="20"/>
          <w:szCs w:val="20"/>
        </w:rPr>
        <w:br/>
        <w:t>Operational and sustainability monitoring at SEGX is achieved on a day to day basis through its BMS, which details policies, objectives, indicators and procedures on various E&amp;S aspects, including mechanisms for field staff to collect and input monitoring data, and for reports to be generated based on analysis of the data, which provides a basis for managers to track ongoing performance, and make decisions on needed operational adjustments. The sustainable forest management certification and ISO9001, ISO14001, and OHSAS18001 certifications, already in place, also require regular internal and external reviews of performance and continuous reporting. These also constitute an important part of SEGX’s monitoring and review system.</w:t>
      </w:r>
      <w:r>
        <w:rPr>
          <w:rFonts w:ascii="Helv" w:hAnsi="Helv" w:cs="Helv"/>
          <w:color w:val="000000"/>
          <w:sz w:val="20"/>
          <w:szCs w:val="20"/>
        </w:rPr>
        <w:br/>
      </w:r>
      <w:r>
        <w:rPr>
          <w:rFonts w:ascii="Helv" w:hAnsi="Helv" w:cs="Helv"/>
          <w:color w:val="000000"/>
          <w:sz w:val="20"/>
          <w:szCs w:val="20"/>
        </w:rPr>
        <w:br/>
        <w:t xml:space="preserve">The certified environmental and OHS management systems that will be developed for the P&amp;B Mill, and the certification of sustainable forest management all require regular review of performance and reporting in the continuous improvement context.  Stora Enso will also develop local monitoring and reporting of sustainability indicators to local stakeholders (see later in this review summary). </w:t>
      </w:r>
      <w:r>
        <w:rPr>
          <w:rFonts w:ascii="Helv" w:hAnsi="Helv" w:cs="Helv"/>
          <w:color w:val="000000"/>
          <w:sz w:val="20"/>
          <w:szCs w:val="20"/>
        </w:rPr>
        <w:br/>
      </w:r>
      <w:r>
        <w:rPr>
          <w:rFonts w:ascii="Helv" w:hAnsi="Helv" w:cs="Helv"/>
          <w:color w:val="000000"/>
          <w:sz w:val="20"/>
          <w:szCs w:val="20"/>
        </w:rPr>
        <w:br/>
        <w:t>On an ongoing basis, SEGX will strengthen plantation contractor compliance with the sustainability requirements of IOSP and other operational instructions, through a series of monitoring and management actions summarized in the Environmental and Social Action Plan (ESAP) that is disclosed with this review summary.</w:t>
      </w:r>
      <w:r>
        <w:rPr>
          <w:rFonts w:ascii="Helv" w:hAnsi="Helv" w:cs="Helv"/>
          <w:color w:val="000000"/>
          <w:sz w:val="20"/>
          <w:szCs w:val="20"/>
        </w:rPr>
        <w:br/>
      </w:r>
      <w:r>
        <w:rPr>
          <w:rFonts w:ascii="Helv" w:hAnsi="Helv" w:cs="Helv"/>
          <w:color w:val="000000"/>
          <w:sz w:val="20"/>
          <w:szCs w:val="20"/>
        </w:rPr>
        <w:br/>
        <w:t xml:space="preserve">Stakeholder Engagement </w:t>
      </w:r>
      <w:r>
        <w:rPr>
          <w:rFonts w:ascii="Helv" w:hAnsi="Helv" w:cs="Helv"/>
          <w:color w:val="000000"/>
          <w:sz w:val="20"/>
          <w:szCs w:val="20"/>
        </w:rPr>
        <w:br/>
      </w:r>
      <w:r>
        <w:rPr>
          <w:rFonts w:ascii="Helv" w:hAnsi="Helv" w:cs="Helv"/>
          <w:color w:val="000000"/>
          <w:sz w:val="20"/>
          <w:szCs w:val="20"/>
        </w:rPr>
        <w:lastRenderedPageBreak/>
        <w:br/>
        <w:t>Stakeholder Analysis, Information Disclosure, and Consultation</w:t>
      </w:r>
      <w:r>
        <w:rPr>
          <w:rFonts w:ascii="Helv" w:hAnsi="Helv" w:cs="Helv"/>
          <w:color w:val="000000"/>
          <w:sz w:val="20"/>
          <w:szCs w:val="20"/>
        </w:rPr>
        <w:br/>
        <w:t xml:space="preserve">Over the past few years, Stora Enso has undertaken a substantial amount of work to identify, engage and consult with communities affected by its plantation operations and by the proposed construction and operation of the P&amp;B Mill.  Further details are provided in the sections of this review summary that describe the preparation of the Resettlement Action Plan (RAP) and the project’s community engagement.  </w:t>
      </w:r>
      <w:r>
        <w:rPr>
          <w:rFonts w:ascii="Helv" w:hAnsi="Helv" w:cs="Helv"/>
          <w:color w:val="000000"/>
          <w:sz w:val="20"/>
          <w:szCs w:val="20"/>
        </w:rPr>
        <w:br/>
      </w:r>
      <w:r>
        <w:rPr>
          <w:rFonts w:ascii="Helv" w:hAnsi="Helv" w:cs="Helv"/>
          <w:color w:val="000000"/>
          <w:sz w:val="20"/>
          <w:szCs w:val="20"/>
        </w:rPr>
        <w:br/>
        <w:t>SEGX has been interacting with rural communities located near its plantations since the forestry project started in 2002, through means such as physical visits by social engagement officers. Preparation of the ESIA dated February 2006 (disclosed with this document) also entailed in-depth consultations with groups of local stakeholders.  In late 2011, SEGX reviewed all local engagement activities undertaken to date and on that basis developed a Stakeholder Engagement Plan (SEP) which identifies key stakeholders and describes an approach by which engagement work was to be regularly carried out by designated staff members.  Implementation of the SEGX Community Development Plan (CDP) since 2009 also involved a process of repeated engagement of community stakeholders.  SEGX uses community newsletters, physical visits by field staff, and a network of community liaison persons as key means to disclose project information locally.</w:t>
      </w:r>
      <w:r>
        <w:rPr>
          <w:rFonts w:ascii="Helv" w:hAnsi="Helv" w:cs="Helv"/>
          <w:color w:val="000000"/>
          <w:sz w:val="20"/>
          <w:szCs w:val="20"/>
        </w:rPr>
        <w:br/>
      </w:r>
      <w:r>
        <w:rPr>
          <w:rFonts w:ascii="Helv" w:hAnsi="Helv" w:cs="Helv"/>
          <w:color w:val="000000"/>
          <w:sz w:val="20"/>
          <w:szCs w:val="20"/>
        </w:rPr>
        <w:br/>
        <w:t>The mill RAP preparation process similarly involved in-depth stakeholder analysis and engagement through work such as external socio-economic baseline studies, and consultative sessions to set up a RAP implementation committee led by representatives of affected community members.  This organized and documented process involved repeated two-way communications with a goal of reaching stakeholder consensus on the content and implementation methods of the RAP, and as such constituted informed consultation and participation.</w:t>
      </w:r>
      <w:r>
        <w:rPr>
          <w:rFonts w:ascii="Helv" w:hAnsi="Helv" w:cs="Helv"/>
          <w:color w:val="000000"/>
          <w:sz w:val="20"/>
          <w:szCs w:val="20"/>
        </w:rPr>
        <w:br/>
      </w:r>
      <w:r>
        <w:rPr>
          <w:rFonts w:ascii="Helv" w:hAnsi="Helv" w:cs="Helv"/>
          <w:color w:val="000000"/>
          <w:sz w:val="20"/>
          <w:szCs w:val="20"/>
        </w:rPr>
        <w:br/>
        <w:t>Implementation of the SEP and CDP is an ongoing process. Given the complexity and scale of the project, and the need to ensure consistent SEP implementation across districts and finalizing the revised CDP for implementation, system level reviews will be undertaken to identify areas for improvement. Refer to the ESAP for details.  In addition, regular reviews undertaken by the sustainable forest management auditors continue to assess the quality of SEGX’s community engagement.</w:t>
      </w:r>
      <w:r>
        <w:rPr>
          <w:rFonts w:ascii="Helv" w:hAnsi="Helv" w:cs="Helv"/>
          <w:color w:val="000000"/>
          <w:sz w:val="20"/>
          <w:szCs w:val="20"/>
        </w:rPr>
        <w:br/>
      </w:r>
      <w:r>
        <w:rPr>
          <w:rFonts w:ascii="Helv" w:hAnsi="Helv" w:cs="Helv"/>
          <w:color w:val="000000"/>
          <w:sz w:val="20"/>
          <w:szCs w:val="20"/>
        </w:rPr>
        <w:br/>
      </w:r>
      <w:r>
        <w:rPr>
          <w:rFonts w:ascii="Helv" w:hAnsi="Helv" w:cs="Helv"/>
          <w:color w:val="000000"/>
          <w:sz w:val="20"/>
          <w:szCs w:val="20"/>
        </w:rPr>
        <w:br/>
        <w:t>External Communications</w:t>
      </w:r>
      <w:r>
        <w:rPr>
          <w:rFonts w:ascii="Helv" w:hAnsi="Helv" w:cs="Helv"/>
          <w:color w:val="000000"/>
          <w:sz w:val="20"/>
          <w:szCs w:val="20"/>
        </w:rPr>
        <w:br/>
      </w:r>
      <w:r>
        <w:rPr>
          <w:rFonts w:ascii="Helv" w:hAnsi="Helv" w:cs="Helv"/>
          <w:color w:val="000000"/>
          <w:sz w:val="20"/>
          <w:szCs w:val="20"/>
        </w:rPr>
        <w:br/>
        <w:t>Ongoing Reporting to Affected Communities</w:t>
      </w:r>
      <w:r>
        <w:rPr>
          <w:rFonts w:ascii="Helv" w:hAnsi="Helv" w:cs="Helv"/>
          <w:color w:val="000000"/>
          <w:sz w:val="20"/>
          <w:szCs w:val="20"/>
        </w:rPr>
        <w:br/>
        <w:t xml:space="preserve">On the basis of the environmental and OHS monitoring programs which will be developed in support of the management systems described above, Stora Enso will develop a program of regular communication with local communities on sustainability indicators that are typically tracked in projects such as this, and/or which respond to issues known, through community engagement efforts, to be of concern to local and affected communities.  The frequency of this communication, and evidence of proactive and routine improvement in the inclusion of affected stakeholders, will be commensurate with community concern and the rate of change of the indicators monitored. </w:t>
      </w:r>
      <w:r>
        <w:rPr>
          <w:rFonts w:ascii="Helv" w:hAnsi="Helv" w:cs="Helv"/>
          <w:color w:val="000000"/>
          <w:sz w:val="20"/>
          <w:szCs w:val="20"/>
        </w:rPr>
        <w:br/>
      </w:r>
      <w:r>
        <w:rPr>
          <w:rFonts w:ascii="Helv" w:hAnsi="Helv" w:cs="Helv"/>
          <w:color w:val="000000"/>
          <w:sz w:val="20"/>
          <w:szCs w:val="20"/>
        </w:rPr>
        <w:br/>
        <w:t>Community communication will also include reporting of implementation progress against the project’s various environmental and social actions plans, including relevant sections of the ESAP and Resettlement Action Plan disclosed with this review summary.</w:t>
      </w:r>
      <w:r>
        <w:rPr>
          <w:rFonts w:ascii="Helv" w:hAnsi="Helv" w:cs="Helv"/>
          <w:color w:val="000000"/>
          <w:sz w:val="20"/>
          <w:szCs w:val="20"/>
        </w:rPr>
        <w:br/>
      </w:r>
      <w:r>
        <w:rPr>
          <w:rFonts w:ascii="Helv" w:hAnsi="Helv" w:cs="Helv"/>
          <w:color w:val="000000"/>
          <w:sz w:val="20"/>
          <w:szCs w:val="20"/>
        </w:rPr>
        <w:br/>
        <w:t>Refer to the ESAP for further details of the nature and frequency of this reporting.</w:t>
      </w:r>
      <w:r>
        <w:rPr>
          <w:rFonts w:ascii="Helv" w:hAnsi="Helv" w:cs="Helv"/>
          <w:color w:val="000000"/>
          <w:sz w:val="20"/>
          <w:szCs w:val="20"/>
        </w:rPr>
        <w:br/>
      </w:r>
      <w:r>
        <w:rPr>
          <w:rFonts w:ascii="Helv" w:hAnsi="Helv" w:cs="Helv"/>
          <w:color w:val="000000"/>
          <w:sz w:val="20"/>
          <w:szCs w:val="20"/>
        </w:rPr>
        <w:lastRenderedPageBreak/>
        <w:br/>
        <w:t>Grievance Mechanisms</w:t>
      </w:r>
      <w:r>
        <w:rPr>
          <w:rFonts w:ascii="Helv" w:hAnsi="Helv" w:cs="Helv"/>
          <w:color w:val="000000"/>
          <w:sz w:val="20"/>
          <w:szCs w:val="20"/>
        </w:rPr>
        <w:br/>
        <w:t xml:space="preserve">SEGX established a grievance mechanism in 2009.  Telephone and electronic hotlines are staffed 24/7 and each field officer and local office distribute "Hotline" cards with the website and phone numbers.  Review of logs indicated that call volume peaked in 2009 with roughly 20 calls per quarter which has now reduced to approximately 10 per quarter through June 2012. The number of internal complaints from staff or contractors has declined from 15-20% of call volume to less 10% now.  SEGX also maintains suggestion boxes at regional offices for more anonymous reporting.  The Company will continue the routine assessment of case logs, improve the definition of responses for common complaints, and train staff to better categorize and close complaints; and it will undertake system level reviews of the implementation of its conflict and dispute management mechanisms (CDMM). </w:t>
      </w:r>
      <w:r>
        <w:rPr>
          <w:rFonts w:ascii="Helv" w:hAnsi="Helv" w:cs="Helv"/>
          <w:color w:val="000000"/>
          <w:sz w:val="20"/>
          <w:szCs w:val="20"/>
        </w:rPr>
        <w:br/>
      </w:r>
      <w:r>
        <w:rPr>
          <w:rFonts w:ascii="Helv" w:hAnsi="Helv" w:cs="Helv"/>
          <w:color w:val="000000"/>
          <w:sz w:val="20"/>
          <w:szCs w:val="20"/>
        </w:rPr>
        <w:br/>
        <w:t>The Company will also look to identify more effective channels for obtaining constructive feedback from local stakeholders and affected communities.</w:t>
      </w:r>
      <w:bookmarkStart w:id="0" w:name="_GoBack"/>
      <w:bookmarkEnd w:id="0"/>
    </w:p>
    <w:sectPr w:rsidR="00425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EF6"/>
    <w:rsid w:val="00425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3420</Words>
  <Characters>19495</Characters>
  <Application>Microsoft Office Word</Application>
  <DocSecurity>0</DocSecurity>
  <Lines>162</Lines>
  <Paragraphs>45</Paragraphs>
  <ScaleCrop>false</ScaleCrop>
  <Company>The World Bank Group</Company>
  <LinksUpToDate>false</LinksUpToDate>
  <CharactersWithSpaces>22870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Sathish Chandrasekaran</dc:creator>
  <cp:lastModifiedBy>Sathish Chandrasekaran</cp:lastModifiedBy>
  <cp:revision>1</cp:revision>
  <dcterms:created xsi:type="dcterms:W3CDTF">2013-11-22T20:33:00Z</dcterms:created>
  <dcterms:modified xsi:type="dcterms:W3CDTF">2013-11-22T20:34:00Z</dcterms:modified>
</cp:coreProperties>
</file>